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96082" w14:textId="521CC62F" w:rsidR="00C6773C" w:rsidRPr="009E4192" w:rsidRDefault="009E4192" w:rsidP="009E4192">
      <w:pPr>
        <w:spacing w:after="0"/>
        <w:rPr>
          <w:rFonts w:ascii="Arial" w:hAnsi="Arial" w:cs="Arial"/>
          <w:b/>
          <w:sz w:val="20"/>
          <w:u w:val="single"/>
          <w:lang w:val="en-US"/>
        </w:rPr>
      </w:pPr>
      <w:bookmarkStart w:id="0" w:name="_GoBack"/>
      <w:bookmarkEnd w:id="0"/>
      <w:r w:rsidRPr="009E4192">
        <w:rPr>
          <w:rFonts w:ascii="Arial" w:hAnsi="Arial" w:cs="Arial"/>
          <w:b/>
          <w:bCs/>
          <w:sz w:val="20"/>
          <w:lang w:val="en-GB"/>
        </w:rPr>
        <w:t>TÜV Rheinland to research procurement processes in public transport</w:t>
      </w:r>
      <w:r w:rsidR="005D776E" w:rsidRPr="009E4192">
        <w:rPr>
          <w:rFonts w:ascii="Arial" w:hAnsi="Arial" w:cs="Arial"/>
          <w:b/>
          <w:sz w:val="20"/>
          <w:u w:val="single"/>
          <w:lang w:val="en-US"/>
        </w:rPr>
        <w:t xml:space="preserve"> </w:t>
      </w:r>
    </w:p>
    <w:p w14:paraId="7AC842A0" w14:textId="78A7BEA8" w:rsidR="00C6773C" w:rsidRPr="009E4192" w:rsidRDefault="009E4192" w:rsidP="009E4192">
      <w:pPr>
        <w:spacing w:after="0"/>
        <w:rPr>
          <w:rFonts w:ascii="Arial" w:hAnsi="Arial" w:cs="Arial"/>
          <w:sz w:val="20"/>
          <w:lang w:val="en-US"/>
        </w:rPr>
      </w:pPr>
      <w:r w:rsidRPr="009E4192">
        <w:rPr>
          <w:rFonts w:ascii="Arial" w:hAnsi="Arial" w:cs="Arial"/>
          <w:sz w:val="20"/>
          <w:lang w:val="en-US"/>
        </w:rPr>
        <w:t>Project commissioned by the German Center for Rail Tra</w:t>
      </w:r>
      <w:r>
        <w:rPr>
          <w:rFonts w:ascii="Arial" w:hAnsi="Arial" w:cs="Arial"/>
          <w:sz w:val="20"/>
          <w:lang w:val="en-US"/>
        </w:rPr>
        <w:t>ffic</w:t>
      </w:r>
      <w:r w:rsidRPr="009E4192">
        <w:rPr>
          <w:rFonts w:ascii="Arial" w:hAnsi="Arial" w:cs="Arial"/>
          <w:sz w:val="20"/>
          <w:lang w:val="en-US"/>
        </w:rPr>
        <w:t xml:space="preserve"> Research at the German Federal Railway Authority / Aim: more efficient urban rail passenger services</w:t>
      </w:r>
    </w:p>
    <w:p w14:paraId="6FB0F2E7" w14:textId="77777777" w:rsidR="00C6773C" w:rsidRPr="009E4192" w:rsidRDefault="00C6773C" w:rsidP="009E4192">
      <w:pPr>
        <w:spacing w:after="0"/>
        <w:rPr>
          <w:rFonts w:ascii="Arial" w:hAnsi="Arial" w:cs="Arial"/>
          <w:sz w:val="20"/>
          <w:lang w:val="en-US"/>
        </w:rPr>
      </w:pPr>
    </w:p>
    <w:p w14:paraId="2AA3A7DB" w14:textId="6E217F02" w:rsidR="009E4192" w:rsidRDefault="009E4192" w:rsidP="009E4192">
      <w:pPr>
        <w:spacing w:after="0"/>
        <w:rPr>
          <w:rFonts w:ascii="Arial" w:hAnsi="Arial" w:cs="Arial"/>
          <w:sz w:val="20"/>
          <w:lang w:val="en-GB"/>
        </w:rPr>
      </w:pPr>
      <w:r w:rsidRPr="009E4192">
        <w:rPr>
          <w:rFonts w:ascii="Arial" w:hAnsi="Arial" w:cs="Arial"/>
          <w:b/>
          <w:sz w:val="20"/>
          <w:lang w:val="en-GB"/>
        </w:rPr>
        <w:t>Cologne, Germany, January 18, 2023.</w:t>
      </w:r>
      <w:r w:rsidRPr="009E4192">
        <w:rPr>
          <w:rFonts w:ascii="Arial" w:hAnsi="Arial" w:cs="Arial"/>
          <w:sz w:val="20"/>
          <w:lang w:val="en-GB"/>
        </w:rPr>
        <w:t xml:space="preserve"> TÜV Rheinland </w:t>
      </w:r>
      <w:proofErr w:type="gramStart"/>
      <w:r w:rsidRPr="009E4192">
        <w:rPr>
          <w:rFonts w:ascii="Arial" w:hAnsi="Arial" w:cs="Arial"/>
          <w:sz w:val="20"/>
          <w:lang w:val="en-GB"/>
        </w:rPr>
        <w:t>has been awarded</w:t>
      </w:r>
      <w:proofErr w:type="gramEnd"/>
      <w:r w:rsidRPr="009E4192">
        <w:rPr>
          <w:rFonts w:ascii="Arial" w:hAnsi="Arial" w:cs="Arial"/>
          <w:sz w:val="20"/>
          <w:lang w:val="en-GB"/>
        </w:rPr>
        <w:t xml:space="preserve"> a research contract by the German </w:t>
      </w:r>
      <w:proofErr w:type="spellStart"/>
      <w:r w:rsidRPr="009E4192">
        <w:rPr>
          <w:rFonts w:ascii="Arial" w:hAnsi="Arial" w:cs="Arial"/>
          <w:sz w:val="20"/>
          <w:lang w:val="en-GB"/>
        </w:rPr>
        <w:t>Center</w:t>
      </w:r>
      <w:proofErr w:type="spellEnd"/>
      <w:r w:rsidRPr="009E4192">
        <w:rPr>
          <w:rFonts w:ascii="Arial" w:hAnsi="Arial" w:cs="Arial"/>
          <w:sz w:val="20"/>
          <w:lang w:val="en-GB"/>
        </w:rPr>
        <w:t xml:space="preserve"> for Rail Traffic Research (DZSF) at the Federal Railway Authority (EBA). As part of the project, experts from TÜV Rheinland and business law firm FPS will determine how processes </w:t>
      </w:r>
      <w:proofErr w:type="gramStart"/>
      <w:r w:rsidRPr="009E4192">
        <w:rPr>
          <w:rFonts w:ascii="Arial" w:hAnsi="Arial" w:cs="Arial"/>
          <w:sz w:val="20"/>
          <w:lang w:val="en-GB"/>
        </w:rPr>
        <w:t>can be accelerated</w:t>
      </w:r>
      <w:proofErr w:type="gramEnd"/>
      <w:r w:rsidRPr="009E4192">
        <w:rPr>
          <w:rFonts w:ascii="Arial" w:hAnsi="Arial" w:cs="Arial"/>
          <w:sz w:val="20"/>
          <w:lang w:val="en-GB"/>
        </w:rPr>
        <w:t xml:space="preserve"> for the procurement of rolling stock for urban rail passenger transport. This involves those rail vehicles that are subject to the </w:t>
      </w:r>
      <w:r>
        <w:rPr>
          <w:rFonts w:ascii="Arial" w:hAnsi="Arial" w:cs="Arial"/>
          <w:sz w:val="20"/>
          <w:lang w:val="en-GB"/>
        </w:rPr>
        <w:t>“</w:t>
      </w:r>
      <w:r w:rsidRPr="009E4192">
        <w:rPr>
          <w:rFonts w:ascii="Arial" w:hAnsi="Arial" w:cs="Arial"/>
          <w:sz w:val="20"/>
          <w:lang w:val="en-GB"/>
        </w:rPr>
        <w:t>Ordinance on the Construction and Operation of Tramways</w:t>
      </w:r>
      <w:r>
        <w:rPr>
          <w:rFonts w:ascii="Arial" w:hAnsi="Arial" w:cs="Arial"/>
          <w:sz w:val="20"/>
          <w:lang w:val="en-GB"/>
        </w:rPr>
        <w:t>”</w:t>
      </w:r>
      <w:r w:rsidRPr="009E4192">
        <w:rPr>
          <w:rFonts w:ascii="Arial" w:hAnsi="Arial" w:cs="Arial"/>
          <w:sz w:val="20"/>
          <w:lang w:val="en-GB"/>
        </w:rPr>
        <w:t xml:space="preserve"> (German light rail regulations, </w:t>
      </w:r>
      <w:proofErr w:type="spellStart"/>
      <w:r w:rsidRPr="009E4192">
        <w:rPr>
          <w:rFonts w:ascii="Arial" w:hAnsi="Arial" w:cs="Arial"/>
          <w:sz w:val="20"/>
          <w:lang w:val="en-GB"/>
        </w:rPr>
        <w:t>BOStrab</w:t>
      </w:r>
      <w:proofErr w:type="spellEnd"/>
      <w:r w:rsidRPr="009E4192">
        <w:rPr>
          <w:rFonts w:ascii="Arial" w:hAnsi="Arial" w:cs="Arial"/>
          <w:sz w:val="20"/>
          <w:lang w:val="en-GB"/>
        </w:rPr>
        <w:t xml:space="preserve">). </w:t>
      </w:r>
      <w:r>
        <w:rPr>
          <w:rFonts w:ascii="Arial" w:hAnsi="Arial" w:cs="Arial"/>
          <w:sz w:val="20"/>
          <w:lang w:val="en-GB"/>
        </w:rPr>
        <w:t>“</w:t>
      </w:r>
      <w:r w:rsidRPr="009E4192">
        <w:rPr>
          <w:rFonts w:ascii="Arial" w:hAnsi="Arial" w:cs="Arial"/>
          <w:sz w:val="20"/>
          <w:lang w:val="en-GB"/>
        </w:rPr>
        <w:t>The aim behind the research project is to make urban rail passenger transport more efficient. Faster procurement processes can make a significant contribution to this,</w:t>
      </w:r>
      <w:r>
        <w:rPr>
          <w:rFonts w:ascii="Arial" w:hAnsi="Arial" w:cs="Arial"/>
          <w:sz w:val="20"/>
          <w:lang w:val="en-GB"/>
        </w:rPr>
        <w:t>”</w:t>
      </w:r>
      <w:r w:rsidRPr="009E4192">
        <w:rPr>
          <w:rFonts w:ascii="Arial" w:hAnsi="Arial" w:cs="Arial"/>
          <w:sz w:val="20"/>
          <w:lang w:val="en-GB"/>
        </w:rPr>
        <w:t xml:space="preserve"> explains Antonios Psounos, responsible for the research project at TÜV Rheinland.</w:t>
      </w:r>
    </w:p>
    <w:p w14:paraId="161264B1" w14:textId="77777777" w:rsidR="009E4192" w:rsidRPr="009E4192" w:rsidRDefault="009E4192" w:rsidP="009E4192">
      <w:pPr>
        <w:spacing w:after="0"/>
        <w:rPr>
          <w:rFonts w:ascii="Arial" w:hAnsi="Arial" w:cs="Arial"/>
          <w:sz w:val="20"/>
          <w:lang w:val="en-GB"/>
        </w:rPr>
      </w:pPr>
    </w:p>
    <w:p w14:paraId="269C6737" w14:textId="77777777" w:rsidR="009E4192" w:rsidRPr="009E4192" w:rsidRDefault="009E4192" w:rsidP="009E4192">
      <w:pPr>
        <w:spacing w:after="0"/>
        <w:rPr>
          <w:rFonts w:ascii="Arial" w:hAnsi="Arial" w:cs="Arial"/>
          <w:sz w:val="20"/>
          <w:lang w:val="en-GB"/>
        </w:rPr>
      </w:pPr>
      <w:r w:rsidRPr="009E4192">
        <w:rPr>
          <w:rFonts w:ascii="Arial" w:hAnsi="Arial" w:cs="Arial"/>
          <w:sz w:val="20"/>
          <w:lang w:val="en-GB"/>
        </w:rPr>
        <w:t xml:space="preserve">As part of the project, the experts will also compile a comprehensive overview of what requirements the various tram and light rail networks in Germany place on the rolling stock and infrastructure in each case. On this basis, the project team is to make recommendations for sensible </w:t>
      </w:r>
      <w:proofErr w:type="spellStart"/>
      <w:r w:rsidRPr="009E4192">
        <w:rPr>
          <w:rFonts w:ascii="Arial" w:hAnsi="Arial" w:cs="Arial"/>
          <w:sz w:val="20"/>
          <w:lang w:val="en-GB"/>
        </w:rPr>
        <w:t>cooperations</w:t>
      </w:r>
      <w:proofErr w:type="spellEnd"/>
      <w:r w:rsidRPr="009E4192">
        <w:rPr>
          <w:rFonts w:ascii="Arial" w:hAnsi="Arial" w:cs="Arial"/>
          <w:sz w:val="20"/>
          <w:lang w:val="en-GB"/>
        </w:rPr>
        <w:t xml:space="preserve"> between urban transport operators in vehicle procurement.</w:t>
      </w:r>
    </w:p>
    <w:p w14:paraId="59305D34" w14:textId="77777777" w:rsidR="009E4192" w:rsidRPr="009E4192" w:rsidRDefault="009E4192" w:rsidP="009E4192">
      <w:pPr>
        <w:spacing w:after="0"/>
        <w:rPr>
          <w:rFonts w:ascii="Arial" w:hAnsi="Arial" w:cs="Arial"/>
          <w:sz w:val="20"/>
          <w:lang w:val="en-GB"/>
        </w:rPr>
      </w:pPr>
    </w:p>
    <w:p w14:paraId="2F7484E2" w14:textId="77777777" w:rsidR="009E4192" w:rsidRPr="009E4192" w:rsidRDefault="009E4192" w:rsidP="009E4192">
      <w:pPr>
        <w:spacing w:after="0"/>
        <w:rPr>
          <w:rFonts w:ascii="Arial" w:hAnsi="Arial" w:cs="Arial"/>
          <w:b/>
          <w:bCs/>
          <w:sz w:val="20"/>
          <w:lang w:val="en-GB"/>
        </w:rPr>
      </w:pPr>
      <w:r w:rsidRPr="009E4192">
        <w:rPr>
          <w:rFonts w:ascii="Arial" w:hAnsi="Arial" w:cs="Arial"/>
          <w:b/>
          <w:bCs/>
          <w:sz w:val="20"/>
          <w:lang w:val="en-GB"/>
        </w:rPr>
        <w:t>Project implementation in several steps</w:t>
      </w:r>
    </w:p>
    <w:p w14:paraId="74D9A279" w14:textId="77777777" w:rsidR="009E4192" w:rsidRDefault="009E4192" w:rsidP="009E4192">
      <w:pPr>
        <w:spacing w:after="0"/>
        <w:rPr>
          <w:rFonts w:ascii="Arial" w:hAnsi="Arial" w:cs="Arial"/>
          <w:sz w:val="20"/>
          <w:lang w:val="en-GB"/>
        </w:rPr>
      </w:pPr>
      <w:r w:rsidRPr="009E4192">
        <w:rPr>
          <w:rFonts w:ascii="Arial" w:hAnsi="Arial" w:cs="Arial"/>
          <w:sz w:val="20"/>
          <w:lang w:val="en-GB"/>
        </w:rPr>
        <w:t xml:space="preserve">In several steps, the project team, accompanied by a working group of industry experts, will first </w:t>
      </w:r>
      <w:r w:rsidRPr="009E4192">
        <w:rPr>
          <w:rFonts w:ascii="Arial" w:hAnsi="Arial" w:cs="Arial"/>
          <w:sz w:val="20"/>
          <w:lang w:val="en-GB"/>
        </w:rPr>
        <w:t>analyse</w:t>
      </w:r>
      <w:r w:rsidRPr="009E4192">
        <w:rPr>
          <w:rFonts w:ascii="Arial" w:hAnsi="Arial" w:cs="Arial"/>
          <w:sz w:val="20"/>
          <w:lang w:val="en-GB"/>
        </w:rPr>
        <w:t xml:space="preserve"> the relevant procurement processes in Germany and the European Union. In addition, the similarities between tram and light rail networks in Germany </w:t>
      </w:r>
      <w:proofErr w:type="gramStart"/>
      <w:r w:rsidRPr="009E4192">
        <w:rPr>
          <w:rFonts w:ascii="Arial" w:hAnsi="Arial" w:cs="Arial"/>
          <w:sz w:val="20"/>
          <w:lang w:val="en-GB"/>
        </w:rPr>
        <w:t>will be identified</w:t>
      </w:r>
      <w:proofErr w:type="gramEnd"/>
      <w:r w:rsidRPr="009E4192">
        <w:rPr>
          <w:rFonts w:ascii="Arial" w:hAnsi="Arial" w:cs="Arial"/>
          <w:sz w:val="20"/>
          <w:lang w:val="en-GB"/>
        </w:rPr>
        <w:t xml:space="preserve">. Finally, the results </w:t>
      </w:r>
      <w:proofErr w:type="gramStart"/>
      <w:r w:rsidRPr="009E4192">
        <w:rPr>
          <w:rFonts w:ascii="Arial" w:hAnsi="Arial" w:cs="Arial"/>
          <w:sz w:val="20"/>
          <w:lang w:val="en-GB"/>
        </w:rPr>
        <w:t>will be discussed</w:t>
      </w:r>
      <w:proofErr w:type="gramEnd"/>
      <w:r w:rsidRPr="009E4192">
        <w:rPr>
          <w:rFonts w:ascii="Arial" w:hAnsi="Arial" w:cs="Arial"/>
          <w:sz w:val="20"/>
          <w:lang w:val="en-GB"/>
        </w:rPr>
        <w:t xml:space="preserve"> with the industry. The aim is to reach agreement among the players on how the procurement processes for tram and light rail vehicles can be accelerated and at which </w:t>
      </w:r>
      <w:proofErr w:type="gramStart"/>
      <w:r w:rsidRPr="009E4192">
        <w:rPr>
          <w:rFonts w:ascii="Arial" w:hAnsi="Arial" w:cs="Arial"/>
          <w:sz w:val="20"/>
          <w:lang w:val="en-GB"/>
        </w:rPr>
        <w:t>points</w:t>
      </w:r>
      <w:proofErr w:type="gramEnd"/>
      <w:r w:rsidRPr="009E4192">
        <w:rPr>
          <w:rFonts w:ascii="Arial" w:hAnsi="Arial" w:cs="Arial"/>
          <w:sz w:val="20"/>
          <w:lang w:val="en-GB"/>
        </w:rPr>
        <w:t xml:space="preserve"> synergy effects between the transport operators can be made use of.</w:t>
      </w:r>
    </w:p>
    <w:p w14:paraId="0CA134AF" w14:textId="76B465FD" w:rsidR="005D776E" w:rsidRPr="009E4192" w:rsidRDefault="009E4192" w:rsidP="009E4192">
      <w:pPr>
        <w:spacing w:after="0"/>
        <w:rPr>
          <w:rFonts w:ascii="Arial" w:hAnsi="Arial" w:cs="Arial"/>
          <w:sz w:val="20"/>
          <w:lang w:val="en-GB"/>
        </w:rPr>
      </w:pPr>
      <w:proofErr w:type="gramStart"/>
      <w:r w:rsidRPr="009E4192">
        <w:rPr>
          <w:rFonts w:ascii="Arial" w:hAnsi="Arial" w:cs="Arial"/>
          <w:sz w:val="20"/>
          <w:lang w:val="en-GB"/>
        </w:rPr>
        <w:t>The project is being implemented by TÜV Rheinland</w:t>
      </w:r>
      <w:proofErr w:type="gramEnd"/>
      <w:r w:rsidRPr="009E4192">
        <w:rPr>
          <w:rFonts w:ascii="Arial" w:hAnsi="Arial" w:cs="Arial"/>
          <w:sz w:val="20"/>
          <w:lang w:val="en-GB"/>
        </w:rPr>
        <w:t xml:space="preserve"> together with the law firm FPS. The project team includes engineers in the field of rolling stock technology, commercial topics as well as contract and public procurement law. The duration of the project is 24 months. </w:t>
      </w:r>
      <w:r w:rsidRPr="009E4192">
        <w:rPr>
          <w:rFonts w:ascii="Arial" w:hAnsi="Arial" w:cs="Arial"/>
          <w:sz w:val="20"/>
          <w:lang w:val="en-GB"/>
        </w:rPr>
        <w:t>“</w:t>
      </w:r>
      <w:r w:rsidRPr="009E4192">
        <w:rPr>
          <w:rFonts w:ascii="Arial" w:hAnsi="Arial" w:cs="Arial"/>
          <w:sz w:val="20"/>
          <w:lang w:val="en-GB"/>
        </w:rPr>
        <w:t xml:space="preserve">Against the background of the </w:t>
      </w:r>
      <w:r w:rsidRPr="009E4192">
        <w:rPr>
          <w:rFonts w:ascii="Arial" w:hAnsi="Arial" w:cs="Arial"/>
          <w:sz w:val="20"/>
          <w:lang w:val="en-GB"/>
        </w:rPr>
        <w:t xml:space="preserve">transformation of </w:t>
      </w:r>
      <w:r w:rsidRPr="009E4192">
        <w:rPr>
          <w:rFonts w:ascii="Arial" w:hAnsi="Arial" w:cs="Arial"/>
          <w:sz w:val="20"/>
          <w:lang w:val="en-GB"/>
        </w:rPr>
        <w:t>transport, public local transport will have to meet significantly different requirements in the future than it does today. The project will play an important role in preparing for this future,</w:t>
      </w:r>
      <w:r>
        <w:rPr>
          <w:rFonts w:ascii="Arial" w:hAnsi="Arial" w:cs="Arial"/>
          <w:sz w:val="20"/>
          <w:lang w:val="en-GB"/>
        </w:rPr>
        <w:t>”</w:t>
      </w:r>
      <w:r w:rsidRPr="009E4192">
        <w:rPr>
          <w:rFonts w:ascii="Arial" w:hAnsi="Arial" w:cs="Arial"/>
          <w:sz w:val="20"/>
          <w:lang w:val="en-GB"/>
        </w:rPr>
        <w:t xml:space="preserve"> Antonios Psounos of TÜV Rheinland is convinced.</w:t>
      </w:r>
    </w:p>
    <w:p w14:paraId="37B7D4EB" w14:textId="77777777" w:rsidR="00C6773C" w:rsidRPr="009E4192" w:rsidRDefault="00C6773C" w:rsidP="009E4192">
      <w:pPr>
        <w:tabs>
          <w:tab w:val="left" w:pos="720"/>
          <w:tab w:val="left" w:pos="7371"/>
        </w:tabs>
        <w:spacing w:after="0"/>
        <w:rPr>
          <w:rFonts w:ascii="Arial" w:hAnsi="Arial" w:cs="Arial"/>
          <w:i/>
          <w:color w:val="000000"/>
          <w:sz w:val="18"/>
          <w:lang w:val="en-US"/>
        </w:rPr>
      </w:pPr>
    </w:p>
    <w:p w14:paraId="47310B90" w14:textId="5868EA07" w:rsidR="00457A84" w:rsidRPr="009E4192" w:rsidRDefault="00A00D40" w:rsidP="009E4192">
      <w:pPr>
        <w:autoSpaceDE w:val="0"/>
        <w:autoSpaceDN w:val="0"/>
        <w:spacing w:after="0"/>
        <w:rPr>
          <w:rFonts w:ascii="Arial" w:hAnsi="Arial" w:cs="Arial"/>
          <w:i/>
          <w:sz w:val="18"/>
          <w:lang w:val="en-US"/>
        </w:rPr>
      </w:pPr>
      <w:r w:rsidRPr="009E4192">
        <w:rPr>
          <w:rFonts w:ascii="Arial" w:hAnsi="Arial" w:cs="Arial"/>
          <w:i/>
          <w:color w:val="000000"/>
          <w:sz w:val="18"/>
          <w:lang w:val="en-US"/>
        </w:rPr>
        <w:t xml:space="preserve">TÜV Rheinland stands for safety and quality in virtually all areas of business and life. The company has been operating for more than 150 years and ranks among the </w:t>
      </w:r>
      <w:proofErr w:type="gramStart"/>
      <w:r w:rsidRPr="009E4192">
        <w:rPr>
          <w:rFonts w:ascii="Arial" w:hAnsi="Arial" w:cs="Arial"/>
          <w:i/>
          <w:color w:val="000000"/>
          <w:sz w:val="18"/>
          <w:lang w:val="en-US"/>
        </w:rPr>
        <w:t>world’s</w:t>
      </w:r>
      <w:proofErr w:type="gramEnd"/>
      <w:r w:rsidRPr="009E4192">
        <w:rPr>
          <w:rFonts w:ascii="Arial" w:hAnsi="Arial" w:cs="Arial"/>
          <w:i/>
          <w:color w:val="000000"/>
          <w:sz w:val="18"/>
          <w:lang w:val="en-US"/>
        </w:rPr>
        <w:t xml:space="preserve"> leading testing service providers. It has more than 20,000 employees in over 50 countries and generates annual revenues of around 2.1 billion euros. TÜV </w:t>
      </w:r>
      <w:proofErr w:type="spellStart"/>
      <w:r w:rsidRPr="009E4192">
        <w:rPr>
          <w:rFonts w:ascii="Arial" w:hAnsi="Arial" w:cs="Arial"/>
          <w:i/>
          <w:color w:val="000000"/>
          <w:sz w:val="18"/>
          <w:lang w:val="en-US"/>
        </w:rPr>
        <w:t>Rheinland’s</w:t>
      </w:r>
      <w:proofErr w:type="spellEnd"/>
      <w:r w:rsidRPr="009E4192">
        <w:rPr>
          <w:rFonts w:ascii="Arial" w:hAnsi="Arial" w:cs="Arial"/>
          <w:i/>
          <w:color w:val="000000"/>
          <w:sz w:val="18"/>
          <w:lang w:val="en-US"/>
        </w:rPr>
        <w:t xml:space="preserve"> highly qualified experts test technical systems and products around the world, support innovations in technology and business, train people in numerous professions and certify management systems according to international standards. In doing so, the independent experts </w:t>
      </w:r>
      <w:r w:rsidRPr="009E4192">
        <w:rPr>
          <w:rFonts w:ascii="Arial" w:hAnsi="Arial" w:cs="Arial"/>
          <w:i/>
          <w:sz w:val="18"/>
          <w:lang w:val="en-US"/>
        </w:rPr>
        <w:t>generate trust in products as well as processes across global value-adding chains and the flow of commodities.</w:t>
      </w:r>
      <w:r w:rsidRPr="009E4192">
        <w:rPr>
          <w:rFonts w:ascii="Arial" w:hAnsi="Arial" w:cs="Arial"/>
          <w:i/>
          <w:color w:val="000000"/>
          <w:sz w:val="18"/>
          <w:lang w:val="en-US"/>
        </w:rPr>
        <w:t xml:space="preserve"> </w:t>
      </w:r>
      <w:r w:rsidRPr="009E4192">
        <w:rPr>
          <w:rFonts w:ascii="Arial" w:hAnsi="Arial" w:cs="Arial"/>
          <w:i/>
          <w:sz w:val="18"/>
          <w:lang w:val="en-US"/>
        </w:rPr>
        <w:t xml:space="preserve">Since 2006, TÜV Rheinland has been a member of the United Nations Global Compact to promote sustainability and combat corruption. Website: </w:t>
      </w:r>
      <w:hyperlink r:id="rId7" w:history="1">
        <w:r w:rsidRPr="009E4192">
          <w:rPr>
            <w:rStyle w:val="Hyperlink"/>
            <w:rFonts w:ascii="Arial" w:hAnsi="Arial" w:cs="Arial"/>
            <w:i/>
            <w:sz w:val="18"/>
            <w:lang w:val="en-US"/>
          </w:rPr>
          <w:t>www.tuv.com</w:t>
        </w:r>
      </w:hyperlink>
    </w:p>
    <w:p w14:paraId="3F957E03" w14:textId="77777777" w:rsidR="00457A84" w:rsidRPr="009E4192" w:rsidRDefault="00457A84" w:rsidP="009E4192">
      <w:pPr>
        <w:tabs>
          <w:tab w:val="left" w:pos="7371"/>
        </w:tabs>
        <w:spacing w:after="0"/>
        <w:rPr>
          <w:rFonts w:ascii="Arial" w:hAnsi="Arial" w:cs="Arial"/>
          <w:sz w:val="18"/>
          <w:lang w:val="en-US"/>
        </w:rPr>
      </w:pPr>
      <w:r w:rsidRPr="009E4192">
        <w:rPr>
          <w:rFonts w:ascii="Arial" w:hAnsi="Arial" w:cs="Arial"/>
          <w:sz w:val="18"/>
          <w:lang w:val="en-US"/>
        </w:rPr>
        <w:lastRenderedPageBreak/>
        <w:t>__________________________________________________________________</w:t>
      </w:r>
    </w:p>
    <w:p w14:paraId="651005BD" w14:textId="656DB78E" w:rsidR="00457A84" w:rsidRPr="009E4192" w:rsidRDefault="007F6349" w:rsidP="009E4192">
      <w:pPr>
        <w:tabs>
          <w:tab w:val="left" w:pos="7371"/>
        </w:tabs>
        <w:spacing w:after="0"/>
        <w:rPr>
          <w:rFonts w:ascii="Arial" w:hAnsi="Arial" w:cs="Arial"/>
          <w:sz w:val="18"/>
          <w:lang w:val="en-US"/>
        </w:rPr>
      </w:pPr>
      <w:r w:rsidRPr="009E4192">
        <w:rPr>
          <w:rFonts w:ascii="Arial" w:hAnsi="Arial" w:cs="Arial"/>
          <w:sz w:val="18"/>
          <w:lang w:val="en-US"/>
        </w:rPr>
        <w:t>Media c</w:t>
      </w:r>
      <w:r w:rsidR="00457A84" w:rsidRPr="009E4192">
        <w:rPr>
          <w:rFonts w:ascii="Arial" w:hAnsi="Arial" w:cs="Arial"/>
          <w:sz w:val="18"/>
          <w:lang w:val="en-US"/>
        </w:rPr>
        <w:t xml:space="preserve">ontact: </w:t>
      </w:r>
    </w:p>
    <w:p w14:paraId="32B91CE5" w14:textId="6EDAAF6C" w:rsidR="00457A84" w:rsidRPr="009E4192" w:rsidRDefault="00457A84" w:rsidP="009E4192">
      <w:pPr>
        <w:tabs>
          <w:tab w:val="left" w:pos="7371"/>
        </w:tabs>
        <w:spacing w:after="0"/>
        <w:rPr>
          <w:rFonts w:ascii="Arial" w:hAnsi="Arial" w:cs="Arial"/>
          <w:sz w:val="18"/>
          <w:lang w:val="en-US"/>
        </w:rPr>
      </w:pPr>
      <w:r w:rsidRPr="009E4192">
        <w:rPr>
          <w:rFonts w:ascii="Arial" w:hAnsi="Arial" w:cs="Arial"/>
          <w:sz w:val="18"/>
          <w:lang w:val="en-US"/>
        </w:rPr>
        <w:t>TÜV Rheinland, Press</w:t>
      </w:r>
      <w:r w:rsidR="005D776E" w:rsidRPr="009E4192">
        <w:rPr>
          <w:rFonts w:ascii="Arial" w:hAnsi="Arial" w:cs="Arial"/>
          <w:sz w:val="18"/>
          <w:lang w:val="en-US"/>
        </w:rPr>
        <w:t xml:space="preserve"> Office</w:t>
      </w:r>
      <w:r w:rsidRPr="009E4192">
        <w:rPr>
          <w:rFonts w:ascii="Arial" w:hAnsi="Arial" w:cs="Arial"/>
          <w:sz w:val="18"/>
          <w:lang w:val="en-US"/>
        </w:rPr>
        <w:t>, Tel.: +49 221 806-</w:t>
      </w:r>
      <w:r w:rsidR="005D776E" w:rsidRPr="009E4192">
        <w:rPr>
          <w:rFonts w:ascii="Arial" w:hAnsi="Arial" w:cs="Arial"/>
          <w:sz w:val="18"/>
          <w:lang w:val="en-US"/>
        </w:rPr>
        <w:t>21</w:t>
      </w:r>
      <w:r w:rsidRPr="009E4192">
        <w:rPr>
          <w:rFonts w:ascii="Arial" w:hAnsi="Arial" w:cs="Arial"/>
          <w:sz w:val="18"/>
          <w:lang w:val="en-US"/>
        </w:rPr>
        <w:t xml:space="preserve"> </w:t>
      </w:r>
      <w:r w:rsidR="005D776E" w:rsidRPr="009E4192">
        <w:rPr>
          <w:rFonts w:ascii="Arial" w:hAnsi="Arial" w:cs="Arial"/>
          <w:sz w:val="18"/>
          <w:lang w:val="en-US"/>
        </w:rPr>
        <w:t>48</w:t>
      </w:r>
    </w:p>
    <w:p w14:paraId="09F2211E" w14:textId="3178668A" w:rsidR="003C722D" w:rsidRPr="009E4192" w:rsidRDefault="005D776E" w:rsidP="009E4192">
      <w:pPr>
        <w:tabs>
          <w:tab w:val="left" w:pos="7371"/>
        </w:tabs>
        <w:spacing w:after="0"/>
        <w:rPr>
          <w:rFonts w:ascii="Arial" w:hAnsi="Arial" w:cs="Arial"/>
          <w:sz w:val="18"/>
          <w:lang w:val="en-US"/>
        </w:rPr>
      </w:pPr>
      <w:r w:rsidRPr="009E4192">
        <w:rPr>
          <w:rFonts w:ascii="Arial" w:hAnsi="Arial" w:cs="Arial"/>
          <w:sz w:val="18"/>
          <w:lang w:val="en-US"/>
        </w:rPr>
        <w:t>P</w:t>
      </w:r>
      <w:r w:rsidR="00457A84" w:rsidRPr="009E4192">
        <w:rPr>
          <w:rFonts w:ascii="Arial" w:hAnsi="Arial" w:cs="Arial"/>
          <w:sz w:val="18"/>
          <w:lang w:val="en-US"/>
        </w:rPr>
        <w:t xml:space="preserve">ress releases as well as photo and video footage are available on request by email to presse@de.tuv.com or on </w:t>
      </w:r>
      <w:hyperlink r:id="rId8" w:history="1">
        <w:r w:rsidR="00457A84" w:rsidRPr="009E4192">
          <w:rPr>
            <w:rStyle w:val="Hyperlink"/>
            <w:rFonts w:ascii="Arial" w:hAnsi="Arial" w:cs="Arial"/>
            <w:sz w:val="18"/>
            <w:lang w:val="en-US"/>
          </w:rPr>
          <w:t>www.tuv.com/press</w:t>
        </w:r>
      </w:hyperlink>
      <w:hyperlink w:history="1"/>
      <w:r w:rsidR="00457A84" w:rsidRPr="009E4192">
        <w:rPr>
          <w:rFonts w:ascii="Arial" w:hAnsi="Arial" w:cs="Arial"/>
          <w:sz w:val="18"/>
          <w:lang w:val="en-US"/>
        </w:rPr>
        <w:t>.</w:t>
      </w:r>
    </w:p>
    <w:sectPr w:rsidR="003C722D" w:rsidRPr="009E4192" w:rsidSect="003C722D">
      <w:headerReference w:type="default" r:id="rId9"/>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F45EE" w14:textId="77777777" w:rsidR="003E70CB" w:rsidRDefault="003E70CB" w:rsidP="00D72123">
      <w:pPr>
        <w:spacing w:after="0" w:line="240" w:lineRule="auto"/>
      </w:pPr>
      <w:r>
        <w:separator/>
      </w:r>
    </w:p>
  </w:endnote>
  <w:endnote w:type="continuationSeparator" w:id="0">
    <w:p w14:paraId="6755E76F" w14:textId="77777777" w:rsidR="003E70CB" w:rsidRDefault="003E70CB" w:rsidP="00D7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C022" w14:textId="77777777" w:rsidR="003E70CB" w:rsidRDefault="003E70CB" w:rsidP="00D72123">
      <w:pPr>
        <w:spacing w:after="0" w:line="240" w:lineRule="auto"/>
      </w:pPr>
      <w:r>
        <w:separator/>
      </w:r>
    </w:p>
  </w:footnote>
  <w:footnote w:type="continuationSeparator" w:id="0">
    <w:p w14:paraId="0F13A5F4" w14:textId="77777777" w:rsidR="003E70CB" w:rsidRDefault="003E70CB" w:rsidP="00D7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8A1F" w14:textId="0F76F19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60288" behindDoc="1" locked="0" layoutInCell="1" allowOverlap="1" wp14:anchorId="146B8456" wp14:editId="7843F8AE">
          <wp:simplePos x="0" y="0"/>
          <wp:positionH relativeFrom="column">
            <wp:posOffset>4453944</wp:posOffset>
          </wp:positionH>
          <wp:positionV relativeFrom="page">
            <wp:posOffset>252710</wp:posOffset>
          </wp:positionV>
          <wp:extent cx="1800000" cy="450544"/>
          <wp:effectExtent l="0" t="0" r="0" b="698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054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77"/>
    <w:rsid w:val="00054D0A"/>
    <w:rsid w:val="00061BAD"/>
    <w:rsid w:val="00064B9D"/>
    <w:rsid w:val="000A4B26"/>
    <w:rsid w:val="000B6268"/>
    <w:rsid w:val="000F2434"/>
    <w:rsid w:val="001073FA"/>
    <w:rsid w:val="00124089"/>
    <w:rsid w:val="00150E4E"/>
    <w:rsid w:val="001644D0"/>
    <w:rsid w:val="001B3AE6"/>
    <w:rsid w:val="00201861"/>
    <w:rsid w:val="002207B1"/>
    <w:rsid w:val="0025449E"/>
    <w:rsid w:val="00264F71"/>
    <w:rsid w:val="002977DD"/>
    <w:rsid w:val="002B4D4D"/>
    <w:rsid w:val="002D64D8"/>
    <w:rsid w:val="002D665E"/>
    <w:rsid w:val="00321BDF"/>
    <w:rsid w:val="00330B36"/>
    <w:rsid w:val="00356470"/>
    <w:rsid w:val="0035674C"/>
    <w:rsid w:val="003C722D"/>
    <w:rsid w:val="003E70CB"/>
    <w:rsid w:val="00431F6C"/>
    <w:rsid w:val="00447469"/>
    <w:rsid w:val="00457A84"/>
    <w:rsid w:val="004824A7"/>
    <w:rsid w:val="00483AEE"/>
    <w:rsid w:val="004869D2"/>
    <w:rsid w:val="004E0AFA"/>
    <w:rsid w:val="00500879"/>
    <w:rsid w:val="005023C9"/>
    <w:rsid w:val="005B2628"/>
    <w:rsid w:val="005C2271"/>
    <w:rsid w:val="005C39AF"/>
    <w:rsid w:val="005C6D30"/>
    <w:rsid w:val="005D776E"/>
    <w:rsid w:val="00623A9C"/>
    <w:rsid w:val="00624234"/>
    <w:rsid w:val="00653004"/>
    <w:rsid w:val="006537E3"/>
    <w:rsid w:val="006A4796"/>
    <w:rsid w:val="00707004"/>
    <w:rsid w:val="00754CEE"/>
    <w:rsid w:val="007F6349"/>
    <w:rsid w:val="008B1F88"/>
    <w:rsid w:val="008C4EEA"/>
    <w:rsid w:val="008D7592"/>
    <w:rsid w:val="008E1EEC"/>
    <w:rsid w:val="008E3E1F"/>
    <w:rsid w:val="00910393"/>
    <w:rsid w:val="00914B2B"/>
    <w:rsid w:val="00965509"/>
    <w:rsid w:val="00972400"/>
    <w:rsid w:val="009D404E"/>
    <w:rsid w:val="009E4192"/>
    <w:rsid w:val="009F1131"/>
    <w:rsid w:val="00A00D40"/>
    <w:rsid w:val="00A836B2"/>
    <w:rsid w:val="00A84790"/>
    <w:rsid w:val="00A96D76"/>
    <w:rsid w:val="00AB5977"/>
    <w:rsid w:val="00B14C97"/>
    <w:rsid w:val="00B45F80"/>
    <w:rsid w:val="00B7224A"/>
    <w:rsid w:val="00BB1D8B"/>
    <w:rsid w:val="00C159DC"/>
    <w:rsid w:val="00C23770"/>
    <w:rsid w:val="00C45E98"/>
    <w:rsid w:val="00C56CF8"/>
    <w:rsid w:val="00C6773C"/>
    <w:rsid w:val="00CB2873"/>
    <w:rsid w:val="00D60257"/>
    <w:rsid w:val="00D72123"/>
    <w:rsid w:val="00EA487A"/>
    <w:rsid w:val="00EC10CC"/>
    <w:rsid w:val="00F17684"/>
    <w:rsid w:val="00F90D2F"/>
    <w:rsid w:val="00FB6643"/>
    <w:rsid w:val="00FB6FB4"/>
    <w:rsid w:val="00FD32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E03D64"/>
  <w15:docId w15:val="{20AC6FB3-D218-47CA-95D5-3834BD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v.com/press" TargetMode="External"/><Relationship Id="rId3" Type="http://schemas.openxmlformats.org/officeDocument/2006/relationships/settings" Target="settings.xml"/><Relationship Id="rId7" Type="http://schemas.openxmlformats.org/officeDocument/2006/relationships/hyperlink" Target="http://www.tuv.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6C94-CEB3-4003-8EC7-90728168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TUV</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Charge</dc:creator>
  <cp:keywords/>
  <dc:description/>
  <cp:lastModifiedBy>Alexander Schneider</cp:lastModifiedBy>
  <cp:revision>3</cp:revision>
  <cp:lastPrinted>2017-12-06T08:02:00Z</cp:lastPrinted>
  <dcterms:created xsi:type="dcterms:W3CDTF">2023-01-23T08:52:00Z</dcterms:created>
  <dcterms:modified xsi:type="dcterms:W3CDTF">2023-01-23T08:59:00Z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2021-08-13T10:04:17Z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2331121c-7c5f-459f-b792-e7452c4b1b0e</vt:lpwstr>
  </property>
  <property fmtid="{D5CDD505-2E9C-101B-9397-08002B2CF9AE}" pid="8" name="MSIP_Label_d3d538fd-7cd2-4b8b-bd42-f6ee8cc1e568_ContentBits">
    <vt:lpwstr>0</vt:lpwstr>
  </property>
</Properties>
</file>