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277F" w14:textId="6260E7A8" w:rsidR="0092445C" w:rsidRPr="0092445C" w:rsidRDefault="00C53168" w:rsidP="00966212">
      <w:pPr>
        <w:spacing w:after="0" w:line="360" w:lineRule="auto"/>
        <w:ind w:right="-2"/>
        <w:rPr>
          <w:rFonts w:ascii="Arial" w:hAnsi="Arial" w:cs="Arial"/>
          <w:sz w:val="20"/>
          <w:szCs w:val="20"/>
          <w:u w:val="single"/>
        </w:rPr>
      </w:pPr>
      <w:r w:rsidRPr="00C53168">
        <w:rPr>
          <w:rFonts w:ascii="Arial" w:hAnsi="Arial" w:cs="Arial"/>
          <w:b/>
          <w:bCs/>
          <w:sz w:val="20"/>
          <w:szCs w:val="20"/>
          <w:u w:val="single"/>
        </w:rPr>
        <w:t>TÜV Rheinland: 5G Campusnetze in Deutschland – Aktuelle Lage und Nutzungspotenziale</w:t>
      </w:r>
    </w:p>
    <w:p w14:paraId="3068A4EA" w14:textId="7DA4972E" w:rsidR="00673563" w:rsidRPr="00317BD6" w:rsidRDefault="008C06FA" w:rsidP="00966212">
      <w:pPr>
        <w:spacing w:after="0" w:line="360" w:lineRule="auto"/>
        <w:ind w:right="-2"/>
        <w:rPr>
          <w:rFonts w:ascii="Arial" w:eastAsia="Arial" w:hAnsi="Arial" w:cs="Arial"/>
          <w:sz w:val="20"/>
          <w:szCs w:val="20"/>
        </w:rPr>
      </w:pPr>
      <w:r w:rsidRPr="008C06FA">
        <w:rPr>
          <w:rFonts w:ascii="Arial" w:eastAsia="Arial" w:hAnsi="Arial" w:cs="Arial"/>
          <w:sz w:val="20"/>
          <w:szCs w:val="20"/>
        </w:rPr>
        <w:t xml:space="preserve">Deutschland als internationaler Vorreiter / Signifikante Bedeutung für die Digitalisierung von Industrie und Wirtschaft / Aktuelle Lage und Nutzungspotenziale / Weitere Informationen: </w:t>
      </w:r>
      <w:hyperlink r:id="rId11" w:history="1">
        <w:r w:rsidR="00A9795C" w:rsidRPr="00DD5BBD">
          <w:rPr>
            <w:rStyle w:val="Hyperlink"/>
            <w:rFonts w:ascii="Arial" w:eastAsia="Arial" w:hAnsi="Arial" w:cs="Arial"/>
            <w:sz w:val="20"/>
            <w:szCs w:val="20"/>
          </w:rPr>
          <w:t>www.tuv.com/5G-campusnetze-whitepaper</w:t>
        </w:r>
      </w:hyperlink>
      <w:r w:rsidR="00A9795C">
        <w:rPr>
          <w:rFonts w:ascii="Arial" w:eastAsia="Arial" w:hAnsi="Arial" w:cs="Arial"/>
          <w:sz w:val="20"/>
          <w:szCs w:val="20"/>
        </w:rPr>
        <w:t xml:space="preserve"> </w:t>
      </w:r>
    </w:p>
    <w:p w14:paraId="398B854B" w14:textId="77777777" w:rsidR="00673563" w:rsidRPr="00317BD6" w:rsidRDefault="00673563" w:rsidP="00673563">
      <w:pPr>
        <w:spacing w:after="0" w:line="360" w:lineRule="auto"/>
        <w:ind w:right="-2"/>
        <w:rPr>
          <w:rFonts w:ascii="Arial" w:hAnsi="Arial" w:cs="Arial"/>
          <w:bCs/>
          <w:sz w:val="20"/>
          <w:szCs w:val="20"/>
        </w:rPr>
      </w:pPr>
    </w:p>
    <w:p w14:paraId="3F192151" w14:textId="42C9F852" w:rsidR="00D0567D" w:rsidRPr="009356D0" w:rsidRDefault="132A59AC" w:rsidP="00D0567D">
      <w:pPr>
        <w:tabs>
          <w:tab w:val="left" w:pos="720"/>
          <w:tab w:val="left" w:pos="7380"/>
        </w:tabs>
        <w:spacing w:after="0" w:line="360" w:lineRule="auto"/>
        <w:rPr>
          <w:rFonts w:ascii="Arial" w:hAnsi="Arial" w:cs="Arial"/>
          <w:sz w:val="20"/>
          <w:szCs w:val="20"/>
        </w:rPr>
      </w:pPr>
      <w:r w:rsidRPr="1D5CB9F3">
        <w:rPr>
          <w:rFonts w:ascii="Arial" w:hAnsi="Arial" w:cs="Arial"/>
          <w:b/>
          <w:bCs/>
          <w:sz w:val="20"/>
          <w:szCs w:val="20"/>
        </w:rPr>
        <w:t>Köln</w:t>
      </w:r>
      <w:r w:rsidR="00673563" w:rsidRPr="1D5CB9F3">
        <w:rPr>
          <w:rFonts w:ascii="Arial" w:hAnsi="Arial" w:cs="Arial"/>
          <w:b/>
          <w:bCs/>
          <w:sz w:val="20"/>
          <w:szCs w:val="20"/>
        </w:rPr>
        <w:t>,</w:t>
      </w:r>
      <w:r w:rsidR="2D46D3CA" w:rsidRPr="1D5CB9F3">
        <w:rPr>
          <w:rFonts w:ascii="Arial" w:hAnsi="Arial" w:cs="Arial"/>
          <w:b/>
          <w:bCs/>
          <w:sz w:val="20"/>
          <w:szCs w:val="20"/>
        </w:rPr>
        <w:t xml:space="preserve"> </w:t>
      </w:r>
      <w:r w:rsidR="00FB0368" w:rsidRPr="00E30792">
        <w:rPr>
          <w:rFonts w:ascii="Arial" w:hAnsi="Arial" w:cs="Arial"/>
          <w:b/>
          <w:bCs/>
          <w:sz w:val="20"/>
          <w:szCs w:val="20"/>
        </w:rPr>
        <w:t>04. Dezember 2025</w:t>
      </w:r>
      <w:r w:rsidR="201EC0E1" w:rsidRPr="1D5CB9F3">
        <w:rPr>
          <w:rFonts w:ascii="Arial" w:hAnsi="Arial" w:cs="Arial"/>
          <w:b/>
          <w:bCs/>
          <w:sz w:val="20"/>
          <w:szCs w:val="20"/>
        </w:rPr>
        <w:t>.</w:t>
      </w:r>
      <w:r w:rsidR="00D0567D">
        <w:rPr>
          <w:rFonts w:ascii="Arial" w:hAnsi="Arial" w:cs="Arial"/>
          <w:b/>
          <w:bCs/>
          <w:sz w:val="20"/>
          <w:szCs w:val="20"/>
        </w:rPr>
        <w:t xml:space="preserve"> </w:t>
      </w:r>
      <w:r w:rsidR="00D0567D" w:rsidRPr="009356D0">
        <w:rPr>
          <w:rFonts w:ascii="Arial" w:hAnsi="Arial" w:cs="Arial"/>
          <w:sz w:val="20"/>
          <w:szCs w:val="20"/>
        </w:rPr>
        <w:t>Die Entwicklung der fünften Generation des Mobilfunkstandards (5G) markierte einen Wendepunkt in der technologischen Entwicklung zahlreicher Branchen. Eine zentrale Innovation in diesem Zusammenhang sind 5G Campusnetze, die Unternehmen die Möglichkeit bieten, ein auf die eigenen Bedürfnisse maßgeschneidertes lokales 5G Netz zu betreiben. Deutschland ist hier internationaler Vorreiter bei der Frequenzvergabe für diese lokalen Netze. </w:t>
      </w:r>
    </w:p>
    <w:p w14:paraId="4C795BA5" w14:textId="77777777" w:rsidR="00D0567D" w:rsidRPr="009356D0" w:rsidRDefault="00D0567D" w:rsidP="00D0567D">
      <w:pPr>
        <w:tabs>
          <w:tab w:val="left" w:pos="720"/>
          <w:tab w:val="left" w:pos="7380"/>
        </w:tabs>
        <w:spacing w:after="0" w:line="360" w:lineRule="auto"/>
        <w:rPr>
          <w:rFonts w:ascii="Arial" w:hAnsi="Arial" w:cs="Arial"/>
          <w:sz w:val="20"/>
          <w:szCs w:val="20"/>
        </w:rPr>
      </w:pPr>
    </w:p>
    <w:p w14:paraId="421FE8F5" w14:textId="77777777" w:rsidR="00D0567D" w:rsidRP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Ein neues Whitepaper von TÜV Rheinland Forschungs- und Innovationsmanagement bietet Unternehmen eine Orientierungshilfe, um die Möglichkeiten der 5G Campusnetze zu überblicken.  </w:t>
      </w:r>
    </w:p>
    <w:p w14:paraId="72E8E9B0" w14:textId="77777777" w:rsidR="00D0567D" w:rsidRPr="009356D0" w:rsidRDefault="00D0567D" w:rsidP="00D0567D">
      <w:pPr>
        <w:tabs>
          <w:tab w:val="left" w:pos="720"/>
          <w:tab w:val="left" w:pos="7380"/>
        </w:tabs>
        <w:spacing w:after="0" w:line="360" w:lineRule="auto"/>
        <w:rPr>
          <w:rFonts w:ascii="Arial" w:hAnsi="Arial" w:cs="Arial"/>
          <w:b/>
          <w:bCs/>
          <w:sz w:val="20"/>
          <w:szCs w:val="20"/>
        </w:rPr>
      </w:pPr>
    </w:p>
    <w:p w14:paraId="5D38D23F" w14:textId="51762B00" w:rsidR="00D0567D" w:rsidRP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b/>
          <w:bCs/>
          <w:sz w:val="20"/>
          <w:szCs w:val="20"/>
        </w:rPr>
        <w:t>5G Campusnetze: Individuelle und sichere Digitalisierung von</w:t>
      </w:r>
      <w:r w:rsidRPr="009356D0">
        <w:rPr>
          <w:rFonts w:ascii="Arial" w:hAnsi="Arial" w:cs="Arial"/>
          <w:b/>
          <w:bCs/>
          <w:sz w:val="20"/>
          <w:szCs w:val="20"/>
        </w:rPr>
        <w:t xml:space="preserve"> </w:t>
      </w:r>
      <w:r w:rsidRPr="00D0567D">
        <w:rPr>
          <w:rFonts w:ascii="Arial" w:hAnsi="Arial" w:cs="Arial"/>
          <w:b/>
          <w:bCs/>
          <w:sz w:val="20"/>
          <w:szCs w:val="20"/>
        </w:rPr>
        <w:t>Produktionsstätten</w:t>
      </w:r>
      <w:r w:rsidRPr="00D0567D">
        <w:rPr>
          <w:rFonts w:ascii="Arial" w:hAnsi="Arial" w:cs="Arial"/>
          <w:sz w:val="20"/>
          <w:szCs w:val="20"/>
        </w:rPr>
        <w:t> </w:t>
      </w:r>
    </w:p>
    <w:p w14:paraId="1881E018" w14:textId="38D229DD" w:rsidR="00D0567D" w:rsidRPr="009356D0"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5G Campusnetze schaffen für Unternehmen die Voraussetzung, alle Komponenten ihrer Produktionsstätte in Echtzeit miteinander zu vernetzen. Das ermöglicht die passgenaue und sichere Digitalisierung von Produktionsstätten in der Automobil- und Chemieindustrie, des Energiesektors, Bergbau, Land- und Fortwirtschaft sowie des Gesundheitswesens aber auch von Logistik an Häfen und Flughäfen.</w:t>
      </w:r>
      <w:r w:rsidRPr="009356D0">
        <w:rPr>
          <w:rFonts w:ascii="Arial" w:hAnsi="Arial" w:cs="Arial"/>
          <w:sz w:val="20"/>
          <w:szCs w:val="20"/>
        </w:rPr>
        <w:t xml:space="preserve"> </w:t>
      </w:r>
      <w:r w:rsidRPr="00D0567D">
        <w:rPr>
          <w:rFonts w:ascii="Arial" w:hAnsi="Arial" w:cs="Arial"/>
          <w:sz w:val="20"/>
          <w:szCs w:val="20"/>
        </w:rPr>
        <w:t>Im Bereich der Intralogistik können so autonome Fahrzeuge per Schwarmsteuerung eingesetzt</w:t>
      </w:r>
      <w:r w:rsidR="003A5124" w:rsidRPr="009356D0">
        <w:rPr>
          <w:rFonts w:ascii="Arial" w:hAnsi="Arial" w:cs="Arial"/>
          <w:sz w:val="20"/>
          <w:szCs w:val="20"/>
        </w:rPr>
        <w:t xml:space="preserve"> </w:t>
      </w:r>
      <w:r w:rsidRPr="00D0567D">
        <w:rPr>
          <w:rFonts w:ascii="Arial" w:hAnsi="Arial" w:cs="Arial"/>
          <w:sz w:val="20"/>
          <w:szCs w:val="20"/>
        </w:rPr>
        <w:t>werden. Ein lokales Kommunikationsnetz ermöglicht den reibungslosen Betrieb der autonomen Fahrzeugflotte über das gesamte Einsatzgebiet. </w:t>
      </w:r>
    </w:p>
    <w:p w14:paraId="3AD6350F" w14:textId="77777777" w:rsidR="003A5124" w:rsidRPr="00D0567D" w:rsidRDefault="003A5124" w:rsidP="00D0567D">
      <w:pPr>
        <w:tabs>
          <w:tab w:val="left" w:pos="720"/>
          <w:tab w:val="left" w:pos="7380"/>
        </w:tabs>
        <w:spacing w:after="0" w:line="360" w:lineRule="auto"/>
        <w:rPr>
          <w:rFonts w:ascii="Arial" w:hAnsi="Arial" w:cs="Arial"/>
          <w:sz w:val="20"/>
          <w:szCs w:val="20"/>
        </w:rPr>
      </w:pPr>
    </w:p>
    <w:p w14:paraId="497EA5FA" w14:textId="77777777" w:rsidR="00D0567D" w:rsidRP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b/>
          <w:bCs/>
          <w:sz w:val="20"/>
          <w:szCs w:val="20"/>
        </w:rPr>
        <w:t>Whitepaper bietet Orientierungshilfe zur aktuellen Lage und Nutzungspotenzialen</w:t>
      </w:r>
      <w:r w:rsidRPr="00D0567D">
        <w:rPr>
          <w:rFonts w:ascii="Arial" w:hAnsi="Arial" w:cs="Arial"/>
          <w:sz w:val="20"/>
          <w:szCs w:val="20"/>
        </w:rPr>
        <w:t> </w:t>
      </w:r>
    </w:p>
    <w:p w14:paraId="1AB23693" w14:textId="67526560" w:rsidR="00D0567D" w:rsidRPr="009356D0"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 xml:space="preserve">Das von TÜV Rheinland verfasste Whitepaper bietet </w:t>
      </w:r>
      <w:r w:rsidR="00053A0C">
        <w:rPr>
          <w:rFonts w:ascii="Arial" w:hAnsi="Arial" w:cs="Arial"/>
          <w:sz w:val="20"/>
          <w:szCs w:val="20"/>
        </w:rPr>
        <w:t xml:space="preserve">für Unternehmen </w:t>
      </w:r>
      <w:r w:rsidRPr="00D0567D">
        <w:rPr>
          <w:rFonts w:ascii="Arial" w:hAnsi="Arial" w:cs="Arial"/>
          <w:sz w:val="20"/>
          <w:szCs w:val="20"/>
        </w:rPr>
        <w:t>einen umfassenden Überblick</w:t>
      </w:r>
      <w:r w:rsidR="00053A0C">
        <w:rPr>
          <w:rFonts w:ascii="Arial" w:hAnsi="Arial" w:cs="Arial"/>
          <w:sz w:val="20"/>
          <w:szCs w:val="20"/>
        </w:rPr>
        <w:t xml:space="preserve"> über die </w:t>
      </w:r>
      <w:r w:rsidRPr="00D0567D">
        <w:rPr>
          <w:rFonts w:ascii="Arial" w:hAnsi="Arial" w:cs="Arial"/>
          <w:sz w:val="20"/>
          <w:szCs w:val="20"/>
        </w:rPr>
        <w:t xml:space="preserve">regulatorischen Aspekte, einschließlich der Frequenzvergabe für private, lokale Netze und der grundlegenden Beantragungsprozesse. Für die Implementierung von 5G Campusnetzen gibt es unterschiedliche Optionen. Auch hier bietet das Papier eine Orientierungshilfe von </w:t>
      </w:r>
      <w:r w:rsidRPr="00D0567D">
        <w:rPr>
          <w:rFonts w:ascii="Arial" w:hAnsi="Arial" w:cs="Arial"/>
          <w:sz w:val="20"/>
          <w:szCs w:val="20"/>
        </w:rPr>
        <w:lastRenderedPageBreak/>
        <w:t>der Eigennutzung der für lokale Netze reservierten Frequenzen über die Kooperation mit einem öffentlichen Mobilfunkbetreiber bis hin zur hybriden Anwendung. </w:t>
      </w:r>
    </w:p>
    <w:p w14:paraId="0C7B7E83" w14:textId="77777777" w:rsidR="003A5124" w:rsidRPr="00D0567D" w:rsidRDefault="003A5124" w:rsidP="00D0567D">
      <w:pPr>
        <w:tabs>
          <w:tab w:val="left" w:pos="720"/>
          <w:tab w:val="left" w:pos="7380"/>
        </w:tabs>
        <w:spacing w:after="0" w:line="360" w:lineRule="auto"/>
        <w:rPr>
          <w:rFonts w:ascii="Arial" w:hAnsi="Arial" w:cs="Arial"/>
          <w:sz w:val="20"/>
          <w:szCs w:val="20"/>
        </w:rPr>
      </w:pPr>
    </w:p>
    <w:p w14:paraId="41E45535" w14:textId="77777777" w:rsidR="00D0567D" w:rsidRP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b/>
          <w:bCs/>
          <w:sz w:val="20"/>
          <w:szCs w:val="20"/>
        </w:rPr>
        <w:t>Deutschland Vorreiter bei lokaler Frequenzvergabe</w:t>
      </w:r>
      <w:r w:rsidRPr="00D0567D">
        <w:rPr>
          <w:rFonts w:ascii="Arial" w:hAnsi="Arial" w:cs="Arial"/>
          <w:sz w:val="20"/>
          <w:szCs w:val="20"/>
        </w:rPr>
        <w:t> </w:t>
      </w:r>
    </w:p>
    <w:p w14:paraId="6FA5A7BF" w14:textId="53E5695A" w:rsidR="00D0567D" w:rsidRPr="009356D0"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Das Potenzial von 5G Campusnetzen wird in Deutschland für produzierende Industriebetriebe mit mehr als 250 Mitarbeitenden auf 5.000 bis 10.000 Unternehmen geschätzt – dieses Potenzial ist noch nicht erreicht. Nichtsdestotrotz gilt Deutschland mit der Freigabe des Frequenzbereichs von 3,7 bis 3,8 GHz als internationaler Vorreiter bei der lokalen Frequenzvergabe, was auch andere Länder dazu inspiriert hat, ähnliche Regelungen einzuführen. Laut einer Umfrage aus 2024 haben</w:t>
      </w:r>
      <w:r w:rsidR="003C7828">
        <w:rPr>
          <w:rFonts w:ascii="Arial" w:hAnsi="Arial" w:cs="Arial"/>
          <w:sz w:val="20"/>
          <w:szCs w:val="20"/>
        </w:rPr>
        <w:t xml:space="preserve"> </w:t>
      </w:r>
      <w:r w:rsidRPr="00D0567D">
        <w:rPr>
          <w:rFonts w:ascii="Arial" w:hAnsi="Arial" w:cs="Arial"/>
          <w:sz w:val="20"/>
          <w:szCs w:val="20"/>
        </w:rPr>
        <w:t>18 europäische Länder dedizierte Frequenzbereiche für Campusnetze geschaffen, wobei Deutschland weiterhin die führende Position in Europa bei der Anzahl solcher Netze einnimmt. Europa hält somit mit 39 % den größten Anteil an weltweiten Campusnetzen, gefolgt von Nordamerika mit 28 %. </w:t>
      </w:r>
    </w:p>
    <w:p w14:paraId="3C8DB6AD" w14:textId="77777777" w:rsidR="003A5124" w:rsidRPr="00D0567D" w:rsidRDefault="003A5124" w:rsidP="00D0567D">
      <w:pPr>
        <w:tabs>
          <w:tab w:val="left" w:pos="720"/>
          <w:tab w:val="left" w:pos="7380"/>
        </w:tabs>
        <w:spacing w:after="0" w:line="360" w:lineRule="auto"/>
        <w:rPr>
          <w:rFonts w:ascii="Arial" w:hAnsi="Arial" w:cs="Arial"/>
          <w:sz w:val="20"/>
          <w:szCs w:val="20"/>
        </w:rPr>
      </w:pPr>
    </w:p>
    <w:p w14:paraId="41212DE4" w14:textId="77777777" w:rsidR="00D0567D" w:rsidRPr="009356D0"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Das vollständige Whitepaper finden Sie hier: </w:t>
      </w:r>
      <w:hyperlink r:id="rId12" w:tgtFrame="_blank" w:history="1">
        <w:r w:rsidRPr="00D0567D">
          <w:rPr>
            <w:rStyle w:val="Hyperlink"/>
            <w:rFonts w:ascii="Arial" w:hAnsi="Arial" w:cs="Arial"/>
            <w:color w:val="auto"/>
            <w:sz w:val="20"/>
            <w:szCs w:val="20"/>
          </w:rPr>
          <w:t>www.tuv.com/5G-campusnetze-whitepaper</w:t>
        </w:r>
      </w:hyperlink>
      <w:r w:rsidRPr="00D0567D">
        <w:rPr>
          <w:rFonts w:ascii="Arial" w:hAnsi="Arial" w:cs="Arial"/>
          <w:sz w:val="20"/>
          <w:szCs w:val="20"/>
        </w:rPr>
        <w:t>  </w:t>
      </w:r>
    </w:p>
    <w:p w14:paraId="2F28FB44" w14:textId="77777777" w:rsidR="003A5124" w:rsidRPr="00D0567D" w:rsidRDefault="003A5124" w:rsidP="00D0567D">
      <w:pPr>
        <w:tabs>
          <w:tab w:val="left" w:pos="720"/>
          <w:tab w:val="left" w:pos="7380"/>
        </w:tabs>
        <w:spacing w:after="0" w:line="360" w:lineRule="auto"/>
        <w:rPr>
          <w:rFonts w:ascii="Arial" w:hAnsi="Arial" w:cs="Arial"/>
          <w:sz w:val="20"/>
          <w:szCs w:val="20"/>
        </w:rPr>
      </w:pPr>
    </w:p>
    <w:p w14:paraId="30EA660F" w14:textId="77777777" w:rsidR="00D0567D" w:rsidRP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b/>
          <w:bCs/>
          <w:sz w:val="20"/>
          <w:szCs w:val="20"/>
        </w:rPr>
        <w:t>Über TÜV Rheinland Forschungs- und Innovationsmanagement </w:t>
      </w:r>
      <w:r w:rsidRPr="00D0567D">
        <w:rPr>
          <w:rFonts w:ascii="Arial" w:hAnsi="Arial" w:cs="Arial"/>
          <w:sz w:val="20"/>
          <w:szCs w:val="20"/>
        </w:rPr>
        <w:t> </w:t>
      </w:r>
    </w:p>
    <w:p w14:paraId="2B5A2C4F" w14:textId="77777777" w:rsid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TÜV Rheinland Forschungs- und Innovationsmanagement GmbH (TRFI) sorgt dafür, dass Fortschritt im Zusammenspiel von Mensch, Technik und Umwelt sicher und erfolgreich gelingt. Seit über 50 Jahren begleiten die Experten die Bundesregierung sowie Landesregierungen und EU als Dienstleister. In ihrer Rolle als beliehener Projektträger, Projektmanager und Begleitforscher unterstützen sie bei der resilienten Transformation von Mobilität, Verkehr, digitaler Infrastruktur, Energie, Bauen und Stadtentwicklung. </w:t>
      </w:r>
    </w:p>
    <w:p w14:paraId="2FA9E225" w14:textId="77777777" w:rsidR="009356D0" w:rsidRPr="00D0567D" w:rsidRDefault="009356D0" w:rsidP="00D0567D">
      <w:pPr>
        <w:tabs>
          <w:tab w:val="left" w:pos="720"/>
          <w:tab w:val="left" w:pos="7380"/>
        </w:tabs>
        <w:spacing w:after="0" w:line="360" w:lineRule="auto"/>
        <w:rPr>
          <w:rFonts w:ascii="Arial" w:hAnsi="Arial" w:cs="Arial"/>
          <w:sz w:val="20"/>
          <w:szCs w:val="20"/>
        </w:rPr>
      </w:pPr>
    </w:p>
    <w:p w14:paraId="3D62AAE4" w14:textId="60B277CD" w:rsidR="00D0567D" w:rsidRPr="00D0567D" w:rsidRDefault="00D0567D" w:rsidP="00D0567D">
      <w:pPr>
        <w:tabs>
          <w:tab w:val="left" w:pos="720"/>
          <w:tab w:val="left" w:pos="7380"/>
        </w:tabs>
        <w:spacing w:after="0" w:line="360" w:lineRule="auto"/>
        <w:rPr>
          <w:rFonts w:ascii="Arial" w:hAnsi="Arial" w:cs="Arial"/>
          <w:sz w:val="20"/>
          <w:szCs w:val="20"/>
        </w:rPr>
      </w:pPr>
      <w:r w:rsidRPr="00D0567D">
        <w:rPr>
          <w:rFonts w:ascii="Arial" w:hAnsi="Arial" w:cs="Arial"/>
          <w:sz w:val="20"/>
          <w:szCs w:val="20"/>
        </w:rPr>
        <w:t xml:space="preserve">Mehr Informationen hier: </w:t>
      </w:r>
      <w:hyperlink r:id="rId13" w:history="1">
        <w:r w:rsidR="009356D0" w:rsidRPr="00D0567D">
          <w:rPr>
            <w:rStyle w:val="Hyperlink"/>
            <w:rFonts w:ascii="Arial" w:hAnsi="Arial" w:cs="Arial"/>
            <w:sz w:val="20"/>
            <w:szCs w:val="20"/>
          </w:rPr>
          <w:t>www.tuv.com/TRFI</w:t>
        </w:r>
      </w:hyperlink>
      <w:r w:rsidR="009356D0">
        <w:rPr>
          <w:rFonts w:ascii="Arial" w:hAnsi="Arial" w:cs="Arial"/>
          <w:sz w:val="20"/>
          <w:szCs w:val="20"/>
        </w:rPr>
        <w:t xml:space="preserve"> </w:t>
      </w:r>
      <w:r w:rsidRPr="00D0567D">
        <w:rPr>
          <w:rFonts w:ascii="Arial" w:hAnsi="Arial" w:cs="Arial"/>
          <w:sz w:val="20"/>
          <w:szCs w:val="20"/>
        </w:rPr>
        <w:t> </w:t>
      </w:r>
    </w:p>
    <w:p w14:paraId="0FBDC666" w14:textId="77777777" w:rsidR="009356D0" w:rsidRDefault="009356D0" w:rsidP="00233554">
      <w:pPr>
        <w:spacing w:line="260" w:lineRule="atLeast"/>
        <w:rPr>
          <w:rFonts w:ascii="Arial" w:hAnsi="Arial" w:cs="Arial"/>
          <w:b/>
          <w:bCs/>
          <w:color w:val="FF0000"/>
          <w:sz w:val="20"/>
          <w:szCs w:val="20"/>
        </w:rPr>
      </w:pPr>
    </w:p>
    <w:p w14:paraId="1D298006" w14:textId="268D247E"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w:t>
      </w:r>
      <w:r w:rsidRPr="00D10CCC">
        <w:rPr>
          <w:rFonts w:ascii="Arial" w:hAnsi="Arial" w:cs="Arial"/>
          <w:i/>
          <w:iCs/>
          <w:color w:val="000000" w:themeColor="text1"/>
          <w:sz w:val="18"/>
          <w:szCs w:val="18"/>
        </w:rPr>
        <w:lastRenderedPageBreak/>
        <w:t xml:space="preserve">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4"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5"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6"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7"/>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10F0" w14:textId="77777777" w:rsidR="005C355F" w:rsidRDefault="005C355F" w:rsidP="00D72123">
      <w:pPr>
        <w:spacing w:after="0" w:line="240" w:lineRule="auto"/>
      </w:pPr>
      <w:r>
        <w:separator/>
      </w:r>
    </w:p>
  </w:endnote>
  <w:endnote w:type="continuationSeparator" w:id="0">
    <w:p w14:paraId="37D684B7" w14:textId="77777777" w:rsidR="005C355F" w:rsidRDefault="005C355F" w:rsidP="00D72123">
      <w:pPr>
        <w:spacing w:after="0" w:line="240" w:lineRule="auto"/>
      </w:pPr>
      <w:r>
        <w:continuationSeparator/>
      </w:r>
    </w:p>
  </w:endnote>
  <w:endnote w:type="continuationNotice" w:id="1">
    <w:p w14:paraId="21F55C05" w14:textId="77777777" w:rsidR="005C355F" w:rsidRDefault="005C3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3FF4" w14:textId="77777777" w:rsidR="005C355F" w:rsidRDefault="005C355F" w:rsidP="00D72123">
      <w:pPr>
        <w:spacing w:after="0" w:line="240" w:lineRule="auto"/>
      </w:pPr>
      <w:r>
        <w:separator/>
      </w:r>
    </w:p>
  </w:footnote>
  <w:footnote w:type="continuationSeparator" w:id="0">
    <w:p w14:paraId="3BE84E1B" w14:textId="77777777" w:rsidR="005C355F" w:rsidRDefault="005C355F" w:rsidP="00D72123">
      <w:pPr>
        <w:spacing w:after="0" w:line="240" w:lineRule="auto"/>
      </w:pPr>
      <w:r>
        <w:continuationSeparator/>
      </w:r>
    </w:p>
  </w:footnote>
  <w:footnote w:type="continuationNotice" w:id="1">
    <w:p w14:paraId="2D36F884" w14:textId="77777777" w:rsidR="005C355F" w:rsidRDefault="005C3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6F0C00D5"/>
    <w:multiLevelType w:val="multilevel"/>
    <w:tmpl w:val="2EA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037B3"/>
    <w:multiLevelType w:val="multilevel"/>
    <w:tmpl w:val="F56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479340">
    <w:abstractNumId w:val="1"/>
  </w:num>
  <w:num w:numId="2" w16cid:durableId="684481105">
    <w:abstractNumId w:val="0"/>
  </w:num>
  <w:num w:numId="3" w16cid:durableId="416439431">
    <w:abstractNumId w:val="3"/>
  </w:num>
  <w:num w:numId="4" w16cid:durableId="110226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5888"/>
    <w:rsid w:val="000311E0"/>
    <w:rsid w:val="00053A0C"/>
    <w:rsid w:val="00054D0A"/>
    <w:rsid w:val="00061BAD"/>
    <w:rsid w:val="00064B9D"/>
    <w:rsid w:val="0006533A"/>
    <w:rsid w:val="000A4B26"/>
    <w:rsid w:val="000C65BE"/>
    <w:rsid w:val="000E1C4C"/>
    <w:rsid w:val="000F2434"/>
    <w:rsid w:val="00102DB7"/>
    <w:rsid w:val="001073FA"/>
    <w:rsid w:val="00124089"/>
    <w:rsid w:val="00146B07"/>
    <w:rsid w:val="00150E4E"/>
    <w:rsid w:val="00154D0C"/>
    <w:rsid w:val="001644D0"/>
    <w:rsid w:val="00181C2F"/>
    <w:rsid w:val="001A2B81"/>
    <w:rsid w:val="001B1ECA"/>
    <w:rsid w:val="001D18D1"/>
    <w:rsid w:val="001E4007"/>
    <w:rsid w:val="001F1333"/>
    <w:rsid w:val="00201861"/>
    <w:rsid w:val="002078CE"/>
    <w:rsid w:val="002207B1"/>
    <w:rsid w:val="00232759"/>
    <w:rsid w:val="00233554"/>
    <w:rsid w:val="00236FDE"/>
    <w:rsid w:val="00244808"/>
    <w:rsid w:val="0025449E"/>
    <w:rsid w:val="00262B87"/>
    <w:rsid w:val="00264F71"/>
    <w:rsid w:val="0026770F"/>
    <w:rsid w:val="00286CEA"/>
    <w:rsid w:val="002977DD"/>
    <w:rsid w:val="002A3CC4"/>
    <w:rsid w:val="002B4D4D"/>
    <w:rsid w:val="002C2B92"/>
    <w:rsid w:val="002D64D8"/>
    <w:rsid w:val="002D665E"/>
    <w:rsid w:val="002F14FD"/>
    <w:rsid w:val="003222D6"/>
    <w:rsid w:val="00330B36"/>
    <w:rsid w:val="0033560D"/>
    <w:rsid w:val="00356470"/>
    <w:rsid w:val="0035674C"/>
    <w:rsid w:val="00357838"/>
    <w:rsid w:val="00383D25"/>
    <w:rsid w:val="00397F32"/>
    <w:rsid w:val="003A5124"/>
    <w:rsid w:val="003B66DE"/>
    <w:rsid w:val="003C722D"/>
    <w:rsid w:val="003C7828"/>
    <w:rsid w:val="003D44EF"/>
    <w:rsid w:val="003E70CB"/>
    <w:rsid w:val="00406AAA"/>
    <w:rsid w:val="00412378"/>
    <w:rsid w:val="00417DE6"/>
    <w:rsid w:val="00431F6C"/>
    <w:rsid w:val="00461A1B"/>
    <w:rsid w:val="004869D2"/>
    <w:rsid w:val="0049235C"/>
    <w:rsid w:val="00492DAB"/>
    <w:rsid w:val="004E0AFA"/>
    <w:rsid w:val="004F0C38"/>
    <w:rsid w:val="00500879"/>
    <w:rsid w:val="005023C9"/>
    <w:rsid w:val="00510A87"/>
    <w:rsid w:val="00537AC3"/>
    <w:rsid w:val="00557F52"/>
    <w:rsid w:val="005656CC"/>
    <w:rsid w:val="005657DF"/>
    <w:rsid w:val="0058780D"/>
    <w:rsid w:val="005B2628"/>
    <w:rsid w:val="005C1244"/>
    <w:rsid w:val="005C2271"/>
    <w:rsid w:val="005C355F"/>
    <w:rsid w:val="005C39AF"/>
    <w:rsid w:val="005C4A8F"/>
    <w:rsid w:val="005E2177"/>
    <w:rsid w:val="0060625B"/>
    <w:rsid w:val="00623A9C"/>
    <w:rsid w:val="00624234"/>
    <w:rsid w:val="00637FFE"/>
    <w:rsid w:val="006537E3"/>
    <w:rsid w:val="00673563"/>
    <w:rsid w:val="00692E0E"/>
    <w:rsid w:val="006A4796"/>
    <w:rsid w:val="006F71F3"/>
    <w:rsid w:val="00707004"/>
    <w:rsid w:val="00713E20"/>
    <w:rsid w:val="0071494C"/>
    <w:rsid w:val="00754CEE"/>
    <w:rsid w:val="00762472"/>
    <w:rsid w:val="00771216"/>
    <w:rsid w:val="007815E7"/>
    <w:rsid w:val="00790FCA"/>
    <w:rsid w:val="007959C1"/>
    <w:rsid w:val="007A6BD3"/>
    <w:rsid w:val="007D0597"/>
    <w:rsid w:val="0080654A"/>
    <w:rsid w:val="00832D9D"/>
    <w:rsid w:val="0085176A"/>
    <w:rsid w:val="00870E2A"/>
    <w:rsid w:val="008863B3"/>
    <w:rsid w:val="008A630C"/>
    <w:rsid w:val="008B1253"/>
    <w:rsid w:val="008B2C5A"/>
    <w:rsid w:val="008C06FA"/>
    <w:rsid w:val="008C1FA0"/>
    <w:rsid w:val="008C3CEF"/>
    <w:rsid w:val="008C4EEA"/>
    <w:rsid w:val="008C7570"/>
    <w:rsid w:val="008D7592"/>
    <w:rsid w:val="008E1EEC"/>
    <w:rsid w:val="008E29CA"/>
    <w:rsid w:val="008E3E1F"/>
    <w:rsid w:val="008F159A"/>
    <w:rsid w:val="0090678C"/>
    <w:rsid w:val="00910393"/>
    <w:rsid w:val="00914B2B"/>
    <w:rsid w:val="0092445C"/>
    <w:rsid w:val="009356D0"/>
    <w:rsid w:val="00965509"/>
    <w:rsid w:val="00966212"/>
    <w:rsid w:val="00972400"/>
    <w:rsid w:val="00984C2F"/>
    <w:rsid w:val="00996F4C"/>
    <w:rsid w:val="009976AF"/>
    <w:rsid w:val="009A256F"/>
    <w:rsid w:val="009D404E"/>
    <w:rsid w:val="009F1131"/>
    <w:rsid w:val="00A05A8A"/>
    <w:rsid w:val="00A45470"/>
    <w:rsid w:val="00A836B2"/>
    <w:rsid w:val="00A84790"/>
    <w:rsid w:val="00A917A6"/>
    <w:rsid w:val="00A920DB"/>
    <w:rsid w:val="00A96D76"/>
    <w:rsid w:val="00A9795C"/>
    <w:rsid w:val="00AB5977"/>
    <w:rsid w:val="00AC0CA7"/>
    <w:rsid w:val="00B14C97"/>
    <w:rsid w:val="00B2218F"/>
    <w:rsid w:val="00B26031"/>
    <w:rsid w:val="00B27201"/>
    <w:rsid w:val="00B45F80"/>
    <w:rsid w:val="00B509EA"/>
    <w:rsid w:val="00B62302"/>
    <w:rsid w:val="00B7224A"/>
    <w:rsid w:val="00B73198"/>
    <w:rsid w:val="00B93906"/>
    <w:rsid w:val="00BB1D8B"/>
    <w:rsid w:val="00BE4B85"/>
    <w:rsid w:val="00C159DC"/>
    <w:rsid w:val="00C23770"/>
    <w:rsid w:val="00C41614"/>
    <w:rsid w:val="00C45E98"/>
    <w:rsid w:val="00C53168"/>
    <w:rsid w:val="00C56CF8"/>
    <w:rsid w:val="00C6773C"/>
    <w:rsid w:val="00C81B8A"/>
    <w:rsid w:val="00C82B80"/>
    <w:rsid w:val="00C941AB"/>
    <w:rsid w:val="00C96952"/>
    <w:rsid w:val="00CB023F"/>
    <w:rsid w:val="00CB2873"/>
    <w:rsid w:val="00CC18FB"/>
    <w:rsid w:val="00CD3C15"/>
    <w:rsid w:val="00D04272"/>
    <w:rsid w:val="00D0567D"/>
    <w:rsid w:val="00D46ADE"/>
    <w:rsid w:val="00D5228C"/>
    <w:rsid w:val="00D60257"/>
    <w:rsid w:val="00D64B3D"/>
    <w:rsid w:val="00D72123"/>
    <w:rsid w:val="00D74432"/>
    <w:rsid w:val="00D76496"/>
    <w:rsid w:val="00DA3D25"/>
    <w:rsid w:val="00DA7F8D"/>
    <w:rsid w:val="00DB7959"/>
    <w:rsid w:val="00DC4ABD"/>
    <w:rsid w:val="00DE10A5"/>
    <w:rsid w:val="00DF7837"/>
    <w:rsid w:val="00E30792"/>
    <w:rsid w:val="00E376FC"/>
    <w:rsid w:val="00E45661"/>
    <w:rsid w:val="00E644B5"/>
    <w:rsid w:val="00E65A37"/>
    <w:rsid w:val="00E73281"/>
    <w:rsid w:val="00E87ACE"/>
    <w:rsid w:val="00E95F60"/>
    <w:rsid w:val="00EA487A"/>
    <w:rsid w:val="00EC10CC"/>
    <w:rsid w:val="00EC60A0"/>
    <w:rsid w:val="00EE100B"/>
    <w:rsid w:val="00EE3927"/>
    <w:rsid w:val="00F07706"/>
    <w:rsid w:val="00F15E46"/>
    <w:rsid w:val="00F17684"/>
    <w:rsid w:val="00F2793F"/>
    <w:rsid w:val="00F35C9D"/>
    <w:rsid w:val="00F369AD"/>
    <w:rsid w:val="00F64495"/>
    <w:rsid w:val="00F74EE6"/>
    <w:rsid w:val="00F90D2F"/>
    <w:rsid w:val="00FB0368"/>
    <w:rsid w:val="00FB1AF7"/>
    <w:rsid w:val="00FB6643"/>
    <w:rsid w:val="00FB6FB4"/>
    <w:rsid w:val="00FD7E67"/>
    <w:rsid w:val="00FE075F"/>
    <w:rsid w:val="00FE5F16"/>
    <w:rsid w:val="00FF607E"/>
    <w:rsid w:val="07C9CBD2"/>
    <w:rsid w:val="0BF4AF1D"/>
    <w:rsid w:val="132A59AC"/>
    <w:rsid w:val="13A2761B"/>
    <w:rsid w:val="1D5CB9F3"/>
    <w:rsid w:val="1E044E78"/>
    <w:rsid w:val="201EC0E1"/>
    <w:rsid w:val="28740BEA"/>
    <w:rsid w:val="2D46D3CA"/>
    <w:rsid w:val="39008127"/>
    <w:rsid w:val="39E372C8"/>
    <w:rsid w:val="429B9CFC"/>
    <w:rsid w:val="4E6AC7E1"/>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4186FEBF-AF22-4A6F-A6DE-B5195E5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character" w:styleId="BesuchterLink">
    <w:name w:val="FollowedHyperlink"/>
    <w:basedOn w:val="Absatz-Standardschriftart"/>
    <w:uiPriority w:val="99"/>
    <w:semiHidden/>
    <w:unhideWhenUsed/>
    <w:rsid w:val="00207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563609723">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355573035">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TR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uv.com/5G-campusnetze-whitepap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uv.com/pre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v.com/landingpage/de/tuev-rheinland-research-and-innovation-management/aktuelle-themen/5g-campusnetze-in-deutschland.html" TargetMode="External"/><Relationship Id="rId5" Type="http://schemas.openxmlformats.org/officeDocument/2006/relationships/numbering" Target="numbering.xml"/><Relationship Id="rId15" Type="http://schemas.openxmlformats.org/officeDocument/2006/relationships/hyperlink" Target="mailto:contact@press.tuv.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93fbe0a503f6fe155c1125dcd56c016c">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e4c4fa3c59086a12b418b91000a1de81"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Props1.xml><?xml version="1.0" encoding="utf-8"?>
<ds:datastoreItem xmlns:ds="http://schemas.openxmlformats.org/officeDocument/2006/customXml" ds:itemID="{F8626F10-5093-48D4-9276-56582F433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3.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4.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4778</Characters>
  <Application>Microsoft Office Word</Application>
  <DocSecurity>0</DocSecurity>
  <Lines>39</Lines>
  <Paragraphs>11</Paragraphs>
  <ScaleCrop>false</ScaleCrop>
  <Company>TUV</Company>
  <LinksUpToDate>false</LinksUpToDate>
  <CharactersWithSpaces>5525</CharactersWithSpaces>
  <SharedDoc>false</SharedDoc>
  <HLinks>
    <vt:vector size="36" baseType="variant">
      <vt:variant>
        <vt:i4>4259914</vt:i4>
      </vt:variant>
      <vt:variant>
        <vt:i4>15</vt:i4>
      </vt:variant>
      <vt:variant>
        <vt:i4>0</vt:i4>
      </vt:variant>
      <vt:variant>
        <vt:i4>5</vt:i4>
      </vt:variant>
      <vt:variant>
        <vt:lpwstr>http://www.tuv.com/presse</vt:lpwstr>
      </vt:variant>
      <vt:variant>
        <vt:lpwstr/>
      </vt:variant>
      <vt:variant>
        <vt:i4>1048681</vt:i4>
      </vt:variant>
      <vt:variant>
        <vt:i4>12</vt:i4>
      </vt:variant>
      <vt:variant>
        <vt:i4>0</vt:i4>
      </vt:variant>
      <vt:variant>
        <vt:i4>5</vt:i4>
      </vt:variant>
      <vt:variant>
        <vt:lpwstr>mailto:contact@press.tuv.com</vt:lpwstr>
      </vt:variant>
      <vt:variant>
        <vt:lpwstr/>
      </vt:variant>
      <vt:variant>
        <vt:i4>2556004</vt:i4>
      </vt:variant>
      <vt:variant>
        <vt:i4>9</vt:i4>
      </vt:variant>
      <vt:variant>
        <vt:i4>0</vt:i4>
      </vt:variant>
      <vt:variant>
        <vt:i4>5</vt:i4>
      </vt:variant>
      <vt:variant>
        <vt:lpwstr>http://www.tuv.com/</vt:lpwstr>
      </vt:variant>
      <vt:variant>
        <vt:lpwstr/>
      </vt:variant>
      <vt:variant>
        <vt:i4>3473465</vt:i4>
      </vt:variant>
      <vt:variant>
        <vt:i4>6</vt:i4>
      </vt:variant>
      <vt:variant>
        <vt:i4>0</vt:i4>
      </vt:variant>
      <vt:variant>
        <vt:i4>5</vt:i4>
      </vt:variant>
      <vt:variant>
        <vt:lpwstr>http://www.tuv.com/TRFI</vt:lpwstr>
      </vt:variant>
      <vt:variant>
        <vt:lpwstr/>
      </vt:variant>
      <vt:variant>
        <vt:i4>65623</vt:i4>
      </vt:variant>
      <vt:variant>
        <vt:i4>3</vt:i4>
      </vt:variant>
      <vt:variant>
        <vt:i4>0</vt:i4>
      </vt:variant>
      <vt:variant>
        <vt:i4>5</vt:i4>
      </vt:variant>
      <vt:variant>
        <vt:lpwstr>http://www.tuv.com/5G-campusnetze-whitepaper</vt:lpwstr>
      </vt:variant>
      <vt:variant>
        <vt:lpwstr/>
      </vt:variant>
      <vt:variant>
        <vt:i4>2949235</vt:i4>
      </vt:variant>
      <vt:variant>
        <vt:i4>0</vt:i4>
      </vt:variant>
      <vt:variant>
        <vt:i4>0</vt:i4>
      </vt:variant>
      <vt:variant>
        <vt:i4>5</vt:i4>
      </vt:variant>
      <vt:variant>
        <vt:lpwstr>https://www.tuv.com/landingpage/de/tuev-rheinland-research-and-innovation-management/aktuelle-themen/5g-campusnetze-in-deutschland.html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Raphaela Fremuth</cp:lastModifiedBy>
  <cp:revision>73</cp:revision>
  <cp:lastPrinted>2017-12-06T17:02:00Z</cp:lastPrinted>
  <dcterms:created xsi:type="dcterms:W3CDTF">2022-08-23T22:43:00Z</dcterms:created>
  <dcterms:modified xsi:type="dcterms:W3CDTF">2025-12-04T10:22:00Z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