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3054" w14:textId="41328DDF" w:rsidR="00BB4676" w:rsidRPr="00C025C0" w:rsidRDefault="00BB4676" w:rsidP="3FFE4AA9">
      <w:pPr>
        <w:spacing w:after="0" w:line="360" w:lineRule="auto"/>
        <w:ind w:right="-2"/>
        <w:rPr>
          <w:rFonts w:ascii="Arial" w:eastAsia="Times New Roman" w:hAnsi="Arial" w:cs="Arial"/>
          <w:b/>
          <w:bCs/>
          <w:sz w:val="20"/>
          <w:szCs w:val="20"/>
          <w:u w:val="single"/>
          <w:lang w:eastAsia="de-DE"/>
        </w:rPr>
      </w:pPr>
      <w:r w:rsidRPr="3FFE4AA9">
        <w:rPr>
          <w:rFonts w:ascii="Arial" w:eastAsia="Times New Roman" w:hAnsi="Arial" w:cs="Arial"/>
          <w:b/>
          <w:bCs/>
          <w:sz w:val="20"/>
          <w:szCs w:val="20"/>
          <w:u w:val="single"/>
          <w:lang w:eastAsia="de-DE"/>
        </w:rPr>
        <w:t>Solarpark Südeifel</w:t>
      </w:r>
      <w:r w:rsidR="00167FCC" w:rsidRPr="3FFE4AA9">
        <w:rPr>
          <w:rFonts w:ascii="Arial" w:eastAsia="Times New Roman" w:hAnsi="Arial" w:cs="Arial"/>
          <w:b/>
          <w:bCs/>
          <w:sz w:val="20"/>
          <w:szCs w:val="20"/>
          <w:u w:val="single"/>
          <w:lang w:eastAsia="de-DE"/>
        </w:rPr>
        <w:t xml:space="preserve"> – e</w:t>
      </w:r>
      <w:r w:rsidRPr="3FFE4AA9">
        <w:rPr>
          <w:rFonts w:ascii="Arial" w:eastAsia="Times New Roman" w:hAnsi="Arial" w:cs="Arial"/>
          <w:b/>
          <w:bCs/>
          <w:sz w:val="20"/>
          <w:szCs w:val="20"/>
          <w:u w:val="single"/>
          <w:lang w:eastAsia="de-DE"/>
        </w:rPr>
        <w:t>ine</w:t>
      </w:r>
      <w:r w:rsidR="002A3DA8" w:rsidRPr="3FFE4AA9">
        <w:rPr>
          <w:rFonts w:ascii="Arial" w:eastAsia="Times New Roman" w:hAnsi="Arial" w:cs="Arial"/>
          <w:b/>
          <w:bCs/>
          <w:sz w:val="20"/>
          <w:szCs w:val="20"/>
          <w:u w:val="single"/>
          <w:lang w:eastAsia="de-DE"/>
        </w:rPr>
        <w:t>r</w:t>
      </w:r>
      <w:r w:rsidR="00167FCC" w:rsidRPr="3FFE4AA9">
        <w:rPr>
          <w:rFonts w:ascii="Arial" w:eastAsia="Times New Roman" w:hAnsi="Arial" w:cs="Arial"/>
          <w:b/>
          <w:bCs/>
          <w:sz w:val="20"/>
          <w:szCs w:val="20"/>
          <w:u w:val="single"/>
          <w:lang w:eastAsia="de-DE"/>
        </w:rPr>
        <w:t xml:space="preserve"> </w:t>
      </w:r>
      <w:r w:rsidRPr="3FFE4AA9">
        <w:rPr>
          <w:rFonts w:ascii="Arial" w:eastAsia="Times New Roman" w:hAnsi="Arial" w:cs="Arial"/>
          <w:b/>
          <w:bCs/>
          <w:sz w:val="20"/>
          <w:szCs w:val="20"/>
          <w:u w:val="single"/>
          <w:lang w:eastAsia="de-DE"/>
        </w:rPr>
        <w:t>der größten Solarp</w:t>
      </w:r>
      <w:r w:rsidR="002A3DA8" w:rsidRPr="3FFE4AA9">
        <w:rPr>
          <w:rFonts w:ascii="Arial" w:eastAsia="Times New Roman" w:hAnsi="Arial" w:cs="Arial"/>
          <w:b/>
          <w:bCs/>
          <w:sz w:val="20"/>
          <w:szCs w:val="20"/>
          <w:u w:val="single"/>
          <w:lang w:eastAsia="de-DE"/>
        </w:rPr>
        <w:t>arks</w:t>
      </w:r>
      <w:r w:rsidRPr="3FFE4AA9">
        <w:rPr>
          <w:rFonts w:ascii="Arial" w:eastAsia="Times New Roman" w:hAnsi="Arial" w:cs="Arial"/>
          <w:b/>
          <w:bCs/>
          <w:sz w:val="20"/>
          <w:szCs w:val="20"/>
          <w:u w:val="single"/>
          <w:lang w:eastAsia="de-DE"/>
        </w:rPr>
        <w:t xml:space="preserve"> Deutschlands</w:t>
      </w:r>
      <w:r w:rsidR="00167FCC" w:rsidRPr="3FFE4AA9">
        <w:rPr>
          <w:rFonts w:ascii="Arial" w:eastAsia="Times New Roman" w:hAnsi="Arial" w:cs="Arial"/>
          <w:b/>
          <w:bCs/>
          <w:sz w:val="20"/>
          <w:szCs w:val="20"/>
          <w:u w:val="single"/>
          <w:lang w:eastAsia="de-DE"/>
        </w:rPr>
        <w:t xml:space="preserve">: </w:t>
      </w:r>
      <w:r w:rsidR="00403990" w:rsidRPr="3FFE4AA9">
        <w:rPr>
          <w:rFonts w:ascii="Arial" w:eastAsia="Times New Roman" w:hAnsi="Arial" w:cs="Arial"/>
          <w:b/>
          <w:bCs/>
          <w:sz w:val="20"/>
          <w:szCs w:val="20"/>
          <w:u w:val="single"/>
          <w:lang w:eastAsia="de-DE"/>
        </w:rPr>
        <w:t xml:space="preserve">erfolgreiche </w:t>
      </w:r>
      <w:r w:rsidR="00167FCC" w:rsidRPr="3FFE4AA9">
        <w:rPr>
          <w:rFonts w:ascii="Arial" w:eastAsia="Times New Roman" w:hAnsi="Arial" w:cs="Arial"/>
          <w:b/>
          <w:bCs/>
          <w:sz w:val="20"/>
          <w:szCs w:val="20"/>
          <w:u w:val="single"/>
          <w:lang w:eastAsia="de-DE"/>
        </w:rPr>
        <w:t>Endabnahme durch TÜV Rheinland</w:t>
      </w:r>
    </w:p>
    <w:p w14:paraId="554A6982" w14:textId="7C2C21B4" w:rsidR="00A55FD9" w:rsidRPr="00C025C0" w:rsidRDefault="003000C1" w:rsidP="1D71AE0D">
      <w:pPr>
        <w:spacing w:after="0" w:line="360" w:lineRule="auto"/>
        <w:ind w:right="-2"/>
        <w:rPr>
          <w:rFonts w:ascii="Arial" w:hAnsi="Arial" w:cs="Arial"/>
          <w:sz w:val="20"/>
          <w:szCs w:val="20"/>
        </w:rPr>
      </w:pPr>
      <w:r w:rsidRPr="1D71AE0D">
        <w:rPr>
          <w:rFonts w:ascii="Arial" w:hAnsi="Arial" w:cs="Arial"/>
          <w:sz w:val="20"/>
          <w:szCs w:val="20"/>
        </w:rPr>
        <w:t xml:space="preserve">Solarpark mit </w:t>
      </w:r>
      <w:r w:rsidR="00A55FD9" w:rsidRPr="1D71AE0D">
        <w:rPr>
          <w:rFonts w:ascii="Arial" w:hAnsi="Arial" w:cs="Arial"/>
          <w:sz w:val="20"/>
          <w:szCs w:val="20"/>
        </w:rPr>
        <w:t xml:space="preserve">200 </w:t>
      </w:r>
      <w:proofErr w:type="spellStart"/>
      <w:r w:rsidR="00A55FD9" w:rsidRPr="1D71AE0D">
        <w:rPr>
          <w:rFonts w:ascii="Arial" w:hAnsi="Arial" w:cs="Arial"/>
          <w:sz w:val="20"/>
          <w:szCs w:val="20"/>
        </w:rPr>
        <w:t>MWp</w:t>
      </w:r>
      <w:proofErr w:type="spellEnd"/>
      <w:r w:rsidR="00A55FD9" w:rsidRPr="1D71AE0D">
        <w:rPr>
          <w:rFonts w:ascii="Arial" w:hAnsi="Arial" w:cs="Arial"/>
          <w:sz w:val="20"/>
          <w:szCs w:val="20"/>
        </w:rPr>
        <w:t xml:space="preserve"> Leistung – so groß wie 60 Fußballfelder </w:t>
      </w:r>
      <w:r w:rsidRPr="1D71AE0D">
        <w:rPr>
          <w:rFonts w:ascii="Arial" w:hAnsi="Arial" w:cs="Arial"/>
          <w:sz w:val="20"/>
          <w:szCs w:val="20"/>
        </w:rPr>
        <w:t>– kann</w:t>
      </w:r>
      <w:r w:rsidR="00DD5808" w:rsidRPr="1D71AE0D">
        <w:rPr>
          <w:rFonts w:ascii="Arial" w:hAnsi="Arial" w:cs="Arial"/>
          <w:sz w:val="20"/>
          <w:szCs w:val="20"/>
        </w:rPr>
        <w:t xml:space="preserve"> rechnerisch</w:t>
      </w:r>
      <w:r w:rsidR="00A55FD9" w:rsidRPr="1D71AE0D">
        <w:rPr>
          <w:rFonts w:ascii="Arial" w:hAnsi="Arial" w:cs="Arial"/>
          <w:sz w:val="20"/>
          <w:szCs w:val="20"/>
        </w:rPr>
        <w:t xml:space="preserve"> mehr als 50.000 Haushalte mit Strom versorgen / </w:t>
      </w:r>
      <w:hyperlink r:id="rId11">
        <w:r w:rsidR="00A55FD9" w:rsidRPr="1D71AE0D">
          <w:rPr>
            <w:rStyle w:val="Hyperlink"/>
            <w:rFonts w:ascii="Arial" w:hAnsi="Arial" w:cs="Arial"/>
            <w:sz w:val="20"/>
            <w:szCs w:val="20"/>
          </w:rPr>
          <w:t>www.tuv.com/solar</w:t>
        </w:r>
      </w:hyperlink>
    </w:p>
    <w:p w14:paraId="013B05E5" w14:textId="77777777" w:rsidR="00A55FD9" w:rsidRPr="00C025C0" w:rsidRDefault="00A55FD9" w:rsidP="00C025C0">
      <w:pPr>
        <w:spacing w:after="0" w:line="360" w:lineRule="auto"/>
        <w:ind w:right="-2"/>
        <w:rPr>
          <w:rFonts w:ascii="Arial" w:hAnsi="Arial" w:cs="Arial"/>
          <w:sz w:val="20"/>
          <w:szCs w:val="20"/>
        </w:rPr>
      </w:pPr>
    </w:p>
    <w:p w14:paraId="7125B3EE" w14:textId="4D1F76ED" w:rsidR="00513296" w:rsidRPr="00C025C0" w:rsidRDefault="00513296" w:rsidP="1D71AE0D">
      <w:pPr>
        <w:spacing w:after="0" w:line="360" w:lineRule="auto"/>
        <w:ind w:right="-2"/>
        <w:rPr>
          <w:rFonts w:ascii="Arial" w:hAnsi="Arial" w:cs="Arial"/>
          <w:sz w:val="20"/>
          <w:szCs w:val="20"/>
        </w:rPr>
      </w:pPr>
      <w:r w:rsidRPr="1D71AE0D">
        <w:rPr>
          <w:rFonts w:ascii="Arial" w:hAnsi="Arial" w:cs="Arial"/>
          <w:sz w:val="20"/>
          <w:szCs w:val="20"/>
        </w:rPr>
        <w:t xml:space="preserve">TÜV Rheinland, ein führender internationaler Dienstleister </w:t>
      </w:r>
      <w:r w:rsidR="006057F0" w:rsidRPr="1D71AE0D">
        <w:rPr>
          <w:rFonts w:ascii="Arial" w:hAnsi="Arial" w:cs="Arial"/>
          <w:sz w:val="20"/>
          <w:szCs w:val="20"/>
        </w:rPr>
        <w:t>für Prüfung und</w:t>
      </w:r>
      <w:r w:rsidRPr="1D71AE0D">
        <w:rPr>
          <w:rFonts w:ascii="Arial" w:hAnsi="Arial" w:cs="Arial"/>
          <w:sz w:val="20"/>
          <w:szCs w:val="20"/>
        </w:rPr>
        <w:t xml:space="preserve"> Zertifizierung von Solaranlagen, hat die </w:t>
      </w:r>
      <w:r w:rsidR="00057CFA" w:rsidRPr="1D71AE0D">
        <w:rPr>
          <w:rFonts w:ascii="Arial" w:hAnsi="Arial" w:cs="Arial"/>
          <w:sz w:val="20"/>
          <w:szCs w:val="20"/>
        </w:rPr>
        <w:t>erfolgreiche Endabnahme</w:t>
      </w:r>
      <w:r w:rsidRPr="1D71AE0D">
        <w:rPr>
          <w:rFonts w:ascii="Arial" w:hAnsi="Arial" w:cs="Arial"/>
          <w:sz w:val="20"/>
          <w:szCs w:val="20"/>
        </w:rPr>
        <w:t xml:space="preserve"> des Solarparks Südeifel</w:t>
      </w:r>
      <w:r w:rsidR="00057CFA" w:rsidRPr="1D71AE0D">
        <w:rPr>
          <w:rFonts w:ascii="Arial" w:hAnsi="Arial" w:cs="Arial"/>
          <w:sz w:val="20"/>
          <w:szCs w:val="20"/>
        </w:rPr>
        <w:t xml:space="preserve"> </w:t>
      </w:r>
      <w:r w:rsidRPr="1D71AE0D">
        <w:rPr>
          <w:rFonts w:ascii="Arial" w:hAnsi="Arial" w:cs="Arial"/>
          <w:sz w:val="20"/>
          <w:szCs w:val="20"/>
        </w:rPr>
        <w:t>durchgeführt. Mit einer Gesamtleistung von knapp 200 Megawattpeak (</w:t>
      </w:r>
      <w:proofErr w:type="spellStart"/>
      <w:r w:rsidRPr="1D71AE0D">
        <w:rPr>
          <w:rFonts w:ascii="Arial" w:hAnsi="Arial" w:cs="Arial"/>
          <w:sz w:val="20"/>
          <w:szCs w:val="20"/>
        </w:rPr>
        <w:t>MWp</w:t>
      </w:r>
      <w:proofErr w:type="spellEnd"/>
      <w:r w:rsidRPr="1D71AE0D">
        <w:rPr>
          <w:rFonts w:ascii="Arial" w:hAnsi="Arial" w:cs="Arial"/>
          <w:sz w:val="20"/>
          <w:szCs w:val="20"/>
        </w:rPr>
        <w:t xml:space="preserve">) </w:t>
      </w:r>
      <w:r w:rsidR="0034333A" w:rsidRPr="1D71AE0D">
        <w:rPr>
          <w:rFonts w:ascii="Arial" w:hAnsi="Arial" w:cs="Arial"/>
          <w:sz w:val="20"/>
          <w:szCs w:val="20"/>
        </w:rPr>
        <w:t>gehört e</w:t>
      </w:r>
      <w:r w:rsidR="005E21D1" w:rsidRPr="1D71AE0D">
        <w:rPr>
          <w:rFonts w:ascii="Arial" w:hAnsi="Arial" w:cs="Arial"/>
          <w:sz w:val="20"/>
          <w:szCs w:val="20"/>
        </w:rPr>
        <w:t>r</w:t>
      </w:r>
      <w:r w:rsidR="0034333A" w:rsidRPr="1D71AE0D">
        <w:rPr>
          <w:rFonts w:ascii="Arial" w:hAnsi="Arial" w:cs="Arial"/>
          <w:sz w:val="20"/>
          <w:szCs w:val="20"/>
        </w:rPr>
        <w:t xml:space="preserve"> zu den größten</w:t>
      </w:r>
      <w:r w:rsidR="00A37A95" w:rsidRPr="1D71AE0D">
        <w:rPr>
          <w:rFonts w:ascii="Arial" w:hAnsi="Arial" w:cs="Arial"/>
          <w:sz w:val="20"/>
          <w:szCs w:val="20"/>
        </w:rPr>
        <w:t xml:space="preserve"> </w:t>
      </w:r>
      <w:r w:rsidR="005E21D1" w:rsidRPr="1D71AE0D">
        <w:rPr>
          <w:rFonts w:ascii="Arial" w:hAnsi="Arial" w:cs="Arial"/>
          <w:sz w:val="20"/>
          <w:szCs w:val="20"/>
        </w:rPr>
        <w:t>in Deutschland und Europa</w:t>
      </w:r>
      <w:r w:rsidRPr="1D71AE0D">
        <w:rPr>
          <w:rFonts w:ascii="Arial" w:hAnsi="Arial" w:cs="Arial"/>
          <w:sz w:val="20"/>
          <w:szCs w:val="20"/>
        </w:rPr>
        <w:t>.</w:t>
      </w:r>
    </w:p>
    <w:p w14:paraId="4E749830" w14:textId="0831D89F" w:rsidR="00513296" w:rsidRPr="00C025C0" w:rsidRDefault="00513296" w:rsidP="1D71AE0D">
      <w:pPr>
        <w:spacing w:after="0" w:line="360" w:lineRule="auto"/>
        <w:ind w:right="-2"/>
        <w:rPr>
          <w:rFonts w:ascii="Arial" w:hAnsi="Arial" w:cs="Arial"/>
          <w:sz w:val="20"/>
          <w:szCs w:val="20"/>
        </w:rPr>
      </w:pPr>
      <w:r w:rsidRPr="1D71AE0D">
        <w:rPr>
          <w:rFonts w:ascii="Arial" w:hAnsi="Arial" w:cs="Arial"/>
          <w:sz w:val="20"/>
          <w:szCs w:val="20"/>
        </w:rPr>
        <w:t xml:space="preserve">Der großflächige Solarpark </w:t>
      </w:r>
      <w:r w:rsidR="00D26793" w:rsidRPr="1D71AE0D">
        <w:rPr>
          <w:rFonts w:ascii="Arial" w:hAnsi="Arial" w:cs="Arial"/>
          <w:sz w:val="20"/>
          <w:szCs w:val="20"/>
        </w:rPr>
        <w:t>umfasst</w:t>
      </w:r>
      <w:r w:rsidRPr="1D71AE0D">
        <w:rPr>
          <w:rFonts w:ascii="Arial" w:hAnsi="Arial" w:cs="Arial"/>
          <w:sz w:val="20"/>
          <w:szCs w:val="20"/>
        </w:rPr>
        <w:t xml:space="preserve"> insgesamt 14 Anlagen, die größte Einzelanlage </w:t>
      </w:r>
      <w:r w:rsidR="003C3BE1" w:rsidRPr="1D71AE0D">
        <w:rPr>
          <w:rFonts w:ascii="Arial" w:hAnsi="Arial" w:cs="Arial"/>
          <w:sz w:val="20"/>
          <w:szCs w:val="20"/>
        </w:rPr>
        <w:t>hat eine</w:t>
      </w:r>
      <w:r w:rsidRPr="1D71AE0D">
        <w:rPr>
          <w:rFonts w:ascii="Arial" w:hAnsi="Arial" w:cs="Arial"/>
          <w:sz w:val="20"/>
          <w:szCs w:val="20"/>
        </w:rPr>
        <w:t xml:space="preserve"> Kapazität von circa 35 </w:t>
      </w:r>
      <w:proofErr w:type="spellStart"/>
      <w:r w:rsidRPr="1D71AE0D">
        <w:rPr>
          <w:rFonts w:ascii="Arial" w:hAnsi="Arial" w:cs="Arial"/>
          <w:sz w:val="20"/>
          <w:szCs w:val="20"/>
        </w:rPr>
        <w:t>MWp</w:t>
      </w:r>
      <w:proofErr w:type="spellEnd"/>
      <w:r w:rsidR="00D26793" w:rsidRPr="1D71AE0D">
        <w:rPr>
          <w:rFonts w:ascii="Arial" w:hAnsi="Arial" w:cs="Arial"/>
          <w:sz w:val="20"/>
          <w:szCs w:val="20"/>
        </w:rPr>
        <w:t>,</w:t>
      </w:r>
      <w:r w:rsidRPr="1D71AE0D">
        <w:rPr>
          <w:rFonts w:ascii="Arial" w:hAnsi="Arial" w:cs="Arial"/>
          <w:sz w:val="20"/>
          <w:szCs w:val="20"/>
        </w:rPr>
        <w:t xml:space="preserve"> auf einer Fläche von 40 Hektar</w:t>
      </w:r>
      <w:r w:rsidR="00244F0F" w:rsidRPr="1D71AE0D">
        <w:rPr>
          <w:rFonts w:ascii="Arial" w:hAnsi="Arial" w:cs="Arial"/>
          <w:sz w:val="20"/>
          <w:szCs w:val="20"/>
        </w:rPr>
        <w:t xml:space="preserve">. Das ist </w:t>
      </w:r>
      <w:r w:rsidRPr="1D71AE0D">
        <w:rPr>
          <w:rFonts w:ascii="Arial" w:hAnsi="Arial" w:cs="Arial"/>
          <w:sz w:val="20"/>
          <w:szCs w:val="20"/>
        </w:rPr>
        <w:t xml:space="preserve">vergleichbar mit der Größe von etwa 60 Fußballfeldern. </w:t>
      </w:r>
    </w:p>
    <w:p w14:paraId="0E6F34EB" w14:textId="77777777" w:rsidR="00B43F5A" w:rsidRDefault="00B43F5A" w:rsidP="00C025C0">
      <w:pPr>
        <w:spacing w:after="0" w:line="360" w:lineRule="auto"/>
        <w:ind w:right="-2"/>
        <w:rPr>
          <w:rFonts w:ascii="Arial" w:hAnsi="Arial" w:cs="Arial"/>
          <w:sz w:val="20"/>
          <w:szCs w:val="20"/>
        </w:rPr>
      </w:pPr>
    </w:p>
    <w:p w14:paraId="69FF4479" w14:textId="15845410" w:rsidR="00513296" w:rsidRDefault="00513296" w:rsidP="1D71AE0D">
      <w:pPr>
        <w:spacing w:after="0" w:line="360" w:lineRule="auto"/>
        <w:ind w:right="-2"/>
        <w:rPr>
          <w:rFonts w:ascii="Arial" w:hAnsi="Arial" w:cs="Arial"/>
          <w:sz w:val="20"/>
          <w:szCs w:val="20"/>
        </w:rPr>
      </w:pPr>
      <w:r w:rsidRPr="1D71AE0D">
        <w:rPr>
          <w:rFonts w:ascii="Arial" w:hAnsi="Arial" w:cs="Arial"/>
          <w:sz w:val="20"/>
          <w:szCs w:val="20"/>
        </w:rPr>
        <w:t xml:space="preserve">„Der Solarpark erzeugt </w:t>
      </w:r>
      <w:r w:rsidR="004D71EA" w:rsidRPr="1D71AE0D">
        <w:rPr>
          <w:rFonts w:ascii="Arial" w:hAnsi="Arial" w:cs="Arial"/>
          <w:sz w:val="20"/>
          <w:szCs w:val="20"/>
        </w:rPr>
        <w:t>durchschnittlich etwa</w:t>
      </w:r>
      <w:r w:rsidRPr="1D71AE0D">
        <w:rPr>
          <w:rFonts w:ascii="Arial" w:hAnsi="Arial" w:cs="Arial"/>
          <w:sz w:val="20"/>
          <w:szCs w:val="20"/>
        </w:rPr>
        <w:t xml:space="preserve"> ca. 160 Millionen Kilowattstunden (kWh) pro Jahr. Das ist genug, um etwa 53.000 2-Personen-Haushalte in Deutschland zu versorgen – basierend auf einem angenommenen jährlichen Durchschnittsverbrauch von 3.000 kWh pro Haushalt“, erläutert Uwe </w:t>
      </w:r>
      <w:proofErr w:type="spellStart"/>
      <w:r w:rsidRPr="1D71AE0D">
        <w:rPr>
          <w:rFonts w:ascii="Arial" w:hAnsi="Arial" w:cs="Arial"/>
          <w:sz w:val="20"/>
          <w:szCs w:val="20"/>
        </w:rPr>
        <w:t>Hupach</w:t>
      </w:r>
      <w:proofErr w:type="spellEnd"/>
      <w:r w:rsidRPr="1D71AE0D">
        <w:rPr>
          <w:rFonts w:ascii="Arial" w:hAnsi="Arial" w:cs="Arial"/>
          <w:sz w:val="20"/>
          <w:szCs w:val="20"/>
        </w:rPr>
        <w:t>, Projektleiter Solarprüfung von TÜV Rheinland. „Dies verdeutlicht die immense Bedeutung des Projekts für die Energieversorgung und den Umweltschutz, indem nicht nur klimaschädliche Emissionen vermieden, sondern auch die regionale Wirtschaft durch die Nutzung erneuerbarer Energien unterstützt wird“</w:t>
      </w:r>
      <w:r w:rsidR="005D407F" w:rsidRPr="1D71AE0D">
        <w:rPr>
          <w:rFonts w:ascii="Arial" w:hAnsi="Arial" w:cs="Arial"/>
          <w:sz w:val="20"/>
          <w:szCs w:val="20"/>
        </w:rPr>
        <w:t>, so Michael Faber, Abteilungsleiter Technik</w:t>
      </w:r>
      <w:r w:rsidRPr="1D71AE0D">
        <w:rPr>
          <w:rFonts w:ascii="Arial" w:hAnsi="Arial" w:cs="Arial"/>
          <w:sz w:val="20"/>
          <w:szCs w:val="20"/>
        </w:rPr>
        <w:t xml:space="preserve"> </w:t>
      </w:r>
      <w:r w:rsidR="005D407F" w:rsidRPr="1D71AE0D">
        <w:rPr>
          <w:rFonts w:ascii="Arial" w:hAnsi="Arial" w:cs="Arial"/>
          <w:sz w:val="20"/>
          <w:szCs w:val="20"/>
        </w:rPr>
        <w:t>von WES</w:t>
      </w:r>
      <w:r w:rsidR="00C5715A" w:rsidRPr="1D71AE0D">
        <w:rPr>
          <w:rFonts w:ascii="Arial" w:hAnsi="Arial" w:cs="Arial"/>
          <w:sz w:val="20"/>
          <w:szCs w:val="20"/>
        </w:rPr>
        <w:t xml:space="preserve"> Green. </w:t>
      </w:r>
      <w:r w:rsidR="008665C2" w:rsidRPr="1D71AE0D">
        <w:rPr>
          <w:rFonts w:ascii="Arial" w:hAnsi="Arial" w:cs="Arial"/>
          <w:sz w:val="20"/>
          <w:szCs w:val="20"/>
        </w:rPr>
        <w:t xml:space="preserve">Die </w:t>
      </w:r>
      <w:r w:rsidR="00A506C0" w:rsidRPr="1D71AE0D">
        <w:rPr>
          <w:rFonts w:ascii="Arial" w:hAnsi="Arial" w:cs="Arial"/>
          <w:sz w:val="20"/>
          <w:szCs w:val="20"/>
        </w:rPr>
        <w:t>WES Green</w:t>
      </w:r>
      <w:r w:rsidR="00171B94" w:rsidRPr="1D71AE0D">
        <w:rPr>
          <w:rFonts w:ascii="Arial" w:hAnsi="Arial" w:cs="Arial"/>
          <w:sz w:val="20"/>
          <w:szCs w:val="20"/>
        </w:rPr>
        <w:t xml:space="preserve"> </w:t>
      </w:r>
      <w:r w:rsidR="008665C2" w:rsidRPr="1D71AE0D">
        <w:rPr>
          <w:rFonts w:ascii="Arial" w:hAnsi="Arial" w:cs="Arial"/>
          <w:sz w:val="20"/>
          <w:szCs w:val="20"/>
        </w:rPr>
        <w:t xml:space="preserve">GmbH </w:t>
      </w:r>
      <w:r w:rsidR="003D2363" w:rsidRPr="1D71AE0D">
        <w:rPr>
          <w:rFonts w:ascii="Arial" w:hAnsi="Arial" w:cs="Arial"/>
          <w:sz w:val="20"/>
          <w:szCs w:val="20"/>
        </w:rPr>
        <w:t xml:space="preserve">hat </w:t>
      </w:r>
      <w:r w:rsidR="005900F5" w:rsidRPr="1D71AE0D">
        <w:rPr>
          <w:rFonts w:ascii="Arial" w:hAnsi="Arial" w:cs="Arial"/>
          <w:sz w:val="20"/>
          <w:szCs w:val="20"/>
        </w:rPr>
        <w:t xml:space="preserve">das </w:t>
      </w:r>
      <w:r w:rsidR="00C80DB3" w:rsidRPr="1D71AE0D">
        <w:rPr>
          <w:rFonts w:ascii="Arial" w:hAnsi="Arial" w:cs="Arial"/>
          <w:sz w:val="20"/>
          <w:szCs w:val="20"/>
        </w:rPr>
        <w:t>Solarpark</w:t>
      </w:r>
      <w:r w:rsidR="005900F5" w:rsidRPr="1D71AE0D">
        <w:rPr>
          <w:rFonts w:ascii="Arial" w:hAnsi="Arial" w:cs="Arial"/>
          <w:sz w:val="20"/>
          <w:szCs w:val="20"/>
        </w:rPr>
        <w:t>-Projekt</w:t>
      </w:r>
      <w:r w:rsidR="00C80DB3" w:rsidRPr="1D71AE0D">
        <w:rPr>
          <w:rFonts w:ascii="Arial" w:hAnsi="Arial" w:cs="Arial"/>
          <w:sz w:val="20"/>
          <w:szCs w:val="20"/>
        </w:rPr>
        <w:t xml:space="preserve"> im Auftrag </w:t>
      </w:r>
      <w:r w:rsidR="008665C2" w:rsidRPr="1D71AE0D">
        <w:rPr>
          <w:rFonts w:ascii="Arial" w:hAnsi="Arial" w:cs="Arial"/>
          <w:sz w:val="20"/>
          <w:szCs w:val="20"/>
        </w:rPr>
        <w:t>der</w:t>
      </w:r>
      <w:r w:rsidR="00171B94" w:rsidRPr="1D71AE0D">
        <w:rPr>
          <w:rFonts w:ascii="Arial" w:hAnsi="Arial" w:cs="Arial"/>
          <w:sz w:val="20"/>
          <w:szCs w:val="20"/>
        </w:rPr>
        <w:t xml:space="preserve"> Solarkraftwerk Südeifel GmbH &amp; Co. KG</w:t>
      </w:r>
      <w:r w:rsidR="008665C2" w:rsidRPr="1D71AE0D">
        <w:rPr>
          <w:rFonts w:ascii="Arial" w:hAnsi="Arial" w:cs="Arial"/>
          <w:sz w:val="20"/>
          <w:szCs w:val="20"/>
        </w:rPr>
        <w:t xml:space="preserve"> </w:t>
      </w:r>
      <w:r w:rsidR="005900F5" w:rsidRPr="1D71AE0D">
        <w:rPr>
          <w:rFonts w:ascii="Arial" w:hAnsi="Arial" w:cs="Arial"/>
          <w:sz w:val="20"/>
          <w:szCs w:val="20"/>
        </w:rPr>
        <w:t>realisiert</w:t>
      </w:r>
      <w:r w:rsidR="00171B94" w:rsidRPr="1D71AE0D">
        <w:rPr>
          <w:rFonts w:ascii="Arial" w:hAnsi="Arial" w:cs="Arial"/>
          <w:sz w:val="20"/>
          <w:szCs w:val="20"/>
        </w:rPr>
        <w:t>. Die abschließenden Konformitäts-Prüfungen hat TÜV Rheinland durchgeführt.</w:t>
      </w:r>
    </w:p>
    <w:p w14:paraId="49723CA4" w14:textId="77777777" w:rsidR="00171B94" w:rsidRDefault="00171B94" w:rsidP="00C025C0">
      <w:pPr>
        <w:spacing w:after="0" w:line="360" w:lineRule="auto"/>
        <w:ind w:right="-2"/>
        <w:rPr>
          <w:rFonts w:ascii="Arial" w:hAnsi="Arial" w:cs="Arial"/>
          <w:sz w:val="20"/>
          <w:szCs w:val="20"/>
        </w:rPr>
      </w:pPr>
    </w:p>
    <w:p w14:paraId="00F2CA66" w14:textId="77777777" w:rsidR="00513296" w:rsidRPr="00C025C0" w:rsidRDefault="00513296" w:rsidP="00C025C0">
      <w:pPr>
        <w:spacing w:after="0" w:line="360" w:lineRule="auto"/>
        <w:ind w:right="-2"/>
        <w:rPr>
          <w:rFonts w:ascii="Arial" w:hAnsi="Arial" w:cs="Arial"/>
          <w:sz w:val="20"/>
          <w:szCs w:val="20"/>
        </w:rPr>
      </w:pPr>
      <w:r w:rsidRPr="00C025C0">
        <w:rPr>
          <w:rFonts w:ascii="Arial" w:hAnsi="Arial" w:cs="Arial"/>
          <w:sz w:val="20"/>
          <w:szCs w:val="20"/>
        </w:rPr>
        <w:t>Teil der umfangreichen Inspektionen seitens TÜV Rheinland waren die Prüfung der einzelnen Komponenten und die sorgfältige Bewertung der Installationsqualität. Die abschließenden Kontrollen im Dezember 2024 bestätigten, dass der Solarpark alle erforderlichen Spezifikationen und sicherheitstechnischen Vorgaben erfüllt.</w:t>
      </w:r>
    </w:p>
    <w:p w14:paraId="398B854B" w14:textId="7FA557CB" w:rsidR="00673563" w:rsidRPr="00C025C0" w:rsidRDefault="00513296" w:rsidP="1D71AE0D">
      <w:pPr>
        <w:spacing w:after="0" w:line="360" w:lineRule="auto"/>
        <w:ind w:right="-2"/>
        <w:rPr>
          <w:rFonts w:ascii="Arial" w:hAnsi="Arial" w:cs="Arial"/>
          <w:sz w:val="20"/>
          <w:szCs w:val="20"/>
        </w:rPr>
      </w:pPr>
      <w:r w:rsidRPr="1D71AE0D">
        <w:rPr>
          <w:rFonts w:ascii="Arial" w:hAnsi="Arial" w:cs="Arial"/>
          <w:sz w:val="20"/>
          <w:szCs w:val="20"/>
        </w:rPr>
        <w:t xml:space="preserve">„Dieses Ergebnis unterstreicht die Bedeutung einer gründlichen technischen Überprüfung und Prüfung von Solaranlagen, die für eine zuverlässige und langfristige Energieproduktion konzipiert sind. TÜV Rheinland hat einmal mehr seine Kompetenz unter Beweis gestellt, nachhaltige Energieprojekte mit umfassenden und zuverlässigen Dienstleistungen zu unterstützen“, so </w:t>
      </w:r>
      <w:proofErr w:type="spellStart"/>
      <w:r w:rsidRPr="1D71AE0D">
        <w:rPr>
          <w:rFonts w:ascii="Arial" w:hAnsi="Arial" w:cs="Arial"/>
          <w:sz w:val="20"/>
          <w:szCs w:val="20"/>
        </w:rPr>
        <w:t>Hupach</w:t>
      </w:r>
      <w:proofErr w:type="spellEnd"/>
      <w:r w:rsidRPr="1D71AE0D">
        <w:rPr>
          <w:rFonts w:ascii="Arial" w:hAnsi="Arial" w:cs="Arial"/>
          <w:sz w:val="20"/>
          <w:szCs w:val="20"/>
        </w:rPr>
        <w:t>.</w:t>
      </w:r>
      <w:r w:rsidR="00A55FD9" w:rsidRPr="1D71AE0D">
        <w:rPr>
          <w:rFonts w:ascii="Arial" w:hAnsi="Arial" w:cs="Arial"/>
          <w:sz w:val="20"/>
          <w:szCs w:val="20"/>
        </w:rPr>
        <w:t xml:space="preserve"> </w:t>
      </w:r>
    </w:p>
    <w:p w14:paraId="43A0F2AE" w14:textId="77777777" w:rsidR="001A2B81" w:rsidRPr="00C025C0" w:rsidRDefault="001A2B81" w:rsidP="00C025C0">
      <w:pPr>
        <w:tabs>
          <w:tab w:val="left" w:pos="720"/>
          <w:tab w:val="left" w:pos="7380"/>
        </w:tabs>
        <w:spacing w:after="0" w:line="360" w:lineRule="auto"/>
        <w:rPr>
          <w:rFonts w:ascii="Arial" w:hAnsi="Arial" w:cs="Arial"/>
          <w:sz w:val="20"/>
          <w:szCs w:val="20"/>
        </w:rPr>
      </w:pPr>
    </w:p>
    <w:p w14:paraId="64DB12B9" w14:textId="77777777" w:rsidR="00B43F5A" w:rsidRDefault="00B43F5A" w:rsidP="00C025C0">
      <w:pPr>
        <w:spacing w:line="360" w:lineRule="auto"/>
        <w:rPr>
          <w:rFonts w:ascii="Arial" w:hAnsi="Arial" w:cs="Arial"/>
          <w:b/>
          <w:bCs/>
          <w:sz w:val="20"/>
          <w:szCs w:val="20"/>
        </w:rPr>
      </w:pPr>
    </w:p>
    <w:p w14:paraId="5DE8B9D8" w14:textId="3A59D941" w:rsidR="009976AF" w:rsidRPr="00C025C0" w:rsidRDefault="00EB2C21" w:rsidP="1D71AE0D">
      <w:pPr>
        <w:spacing w:line="360" w:lineRule="auto"/>
        <w:rPr>
          <w:rFonts w:ascii="Arial" w:hAnsi="Arial" w:cs="Arial"/>
          <w:sz w:val="20"/>
          <w:szCs w:val="20"/>
        </w:rPr>
      </w:pPr>
      <w:r w:rsidRPr="1D71AE0D">
        <w:rPr>
          <w:rFonts w:ascii="Arial" w:hAnsi="Arial" w:cs="Arial"/>
          <w:b/>
          <w:bCs/>
          <w:sz w:val="20"/>
          <w:szCs w:val="20"/>
        </w:rPr>
        <w:lastRenderedPageBreak/>
        <w:t>Über TÜV Rheinland Solar</w:t>
      </w:r>
      <w:r>
        <w:br/>
      </w:r>
      <w:r w:rsidR="00A70478" w:rsidRPr="1D71AE0D">
        <w:rPr>
          <w:rFonts w:ascii="Arial" w:hAnsi="Arial" w:cs="Arial"/>
          <w:sz w:val="20"/>
          <w:szCs w:val="20"/>
        </w:rPr>
        <w:t>Bereits seit mehr als 40 Jahren begleitet TÜV Rheinland die Entwicklung der Solar-Technologie und beschäftigt heute 1.000 Fachleute zur Minimierung von technischen und qualitativen Risiken in Solarkraftwerken sowie in spezialisierten Prüflaboren und Kompetenzzentren weltweit. Mehr als 50.000 Prüfungen führen die Fachleute von TÜV Rheinland jährlich in den Bereichen Solar-, Speicher- und Power-Electronics-Lösungen auf der ganzen Welt durch</w:t>
      </w:r>
      <w:r w:rsidR="00844C9D" w:rsidRPr="1D71AE0D">
        <w:rPr>
          <w:rFonts w:ascii="Arial" w:hAnsi="Arial" w:cs="Arial"/>
          <w:sz w:val="20"/>
          <w:szCs w:val="20"/>
        </w:rPr>
        <w:t xml:space="preserve"> und tragen so ihren Beitrag für Nachhaltigkeit und zur Energiewende bei</w:t>
      </w:r>
      <w:r w:rsidR="00A70478" w:rsidRPr="1D71AE0D">
        <w:rPr>
          <w:rFonts w:ascii="Arial" w:hAnsi="Arial" w:cs="Arial"/>
          <w:sz w:val="20"/>
          <w:szCs w:val="20"/>
        </w:rPr>
        <w:t xml:space="preserve">. Die Expertinnen und Experten entwickeln neue Testmethoden, arbeiten an Forschungs- und Entwicklungsvorhaben und in Normungsgremien mit. Sie bieten weltweit Leistungen zur Machbarkeit, Finanzierung, Qualitätssicherung und Abwicklung von Garantiefällen von Photovoltaik-Kraftwerken, ermöglichen international den Marktzugang durch Prüfungen und Zertifizierungen für Photovoltaikmodule, Komponenten, Wechselrichter sowie Energiespeichersysteme und solarthermische Kollektoren. Als führender Prüfdienstleister von Solarsystemen betreibt TÜV Rheinland Labore unter anderem in Bangalore (Indien), Köln (Deutschland), Mailand (Italien), Shanghai (China), Taichung (Taiwan) sowie in </w:t>
      </w:r>
      <w:proofErr w:type="spellStart"/>
      <w:r w:rsidR="00A70478" w:rsidRPr="1D71AE0D">
        <w:rPr>
          <w:rFonts w:ascii="Arial" w:hAnsi="Arial" w:cs="Arial"/>
          <w:sz w:val="20"/>
          <w:szCs w:val="20"/>
        </w:rPr>
        <w:t>Pleasanton</w:t>
      </w:r>
      <w:proofErr w:type="spellEnd"/>
      <w:r w:rsidR="00A70478" w:rsidRPr="1D71AE0D">
        <w:rPr>
          <w:rFonts w:ascii="Arial" w:hAnsi="Arial" w:cs="Arial"/>
          <w:sz w:val="20"/>
          <w:szCs w:val="20"/>
        </w:rPr>
        <w:t xml:space="preserve"> (USA). Zum Kompetenznetzwerk für Solarenergie gehören darüber hinaus 15 Expertenzentren in Afrika, Amerika, Asien und Europa. Informationen unter </w:t>
      </w:r>
      <w:hyperlink r:id="rId12">
        <w:r w:rsidR="00C025C0" w:rsidRPr="1D71AE0D">
          <w:rPr>
            <w:rStyle w:val="Hyperlink"/>
            <w:rFonts w:ascii="Arial" w:hAnsi="Arial" w:cs="Arial"/>
            <w:sz w:val="20"/>
            <w:szCs w:val="20"/>
          </w:rPr>
          <w:t>www.tuv.com/de/solar</w:t>
        </w:r>
      </w:hyperlink>
      <w:r w:rsidR="00C025C0" w:rsidRPr="1D71AE0D">
        <w:rPr>
          <w:rFonts w:ascii="Arial" w:hAnsi="Arial" w:cs="Arial"/>
          <w:sz w:val="20"/>
          <w:szCs w:val="20"/>
        </w:rPr>
        <w:t xml:space="preserve">  </w:t>
      </w:r>
      <w:r w:rsidR="00A70478" w:rsidRPr="1D71AE0D">
        <w:rPr>
          <w:rFonts w:ascii="Arial" w:hAnsi="Arial" w:cs="Arial"/>
          <w:sz w:val="20"/>
          <w:szCs w:val="20"/>
        </w:rPr>
        <w:t xml:space="preserve"> </w:t>
      </w:r>
      <w:r w:rsidR="00C025C0" w:rsidRPr="1D71AE0D">
        <w:rPr>
          <w:rFonts w:ascii="Arial" w:hAnsi="Arial" w:cs="Arial"/>
          <w:sz w:val="20"/>
          <w:szCs w:val="20"/>
        </w:rPr>
        <w:t xml:space="preserve"> </w:t>
      </w:r>
    </w:p>
    <w:p w14:paraId="1A0920FB" w14:textId="77777777" w:rsidR="007D0597" w:rsidRPr="00844C9D" w:rsidRDefault="007D0597" w:rsidP="007D0597">
      <w:pPr>
        <w:tabs>
          <w:tab w:val="left" w:pos="720"/>
          <w:tab w:val="left" w:pos="7380"/>
        </w:tabs>
        <w:spacing w:after="0" w:line="360" w:lineRule="auto"/>
        <w:rPr>
          <w:rFonts w:ascii="Arial" w:hAnsi="Arial" w:cs="Arial"/>
          <w:b/>
          <w:bCs/>
          <w:color w:val="000000"/>
          <w:sz w:val="18"/>
          <w:szCs w:val="18"/>
        </w:rPr>
      </w:pPr>
    </w:p>
    <w:p w14:paraId="11EEABA8" w14:textId="7015C4A9" w:rsidR="00844C9D" w:rsidRPr="00844C9D" w:rsidRDefault="00844C9D" w:rsidP="007D0597">
      <w:pPr>
        <w:tabs>
          <w:tab w:val="left" w:pos="720"/>
          <w:tab w:val="left" w:pos="7380"/>
        </w:tabs>
        <w:spacing w:after="0" w:line="360" w:lineRule="auto"/>
        <w:rPr>
          <w:rFonts w:ascii="Arial" w:hAnsi="Arial" w:cs="Arial"/>
          <w:b/>
          <w:bCs/>
          <w:i/>
          <w:iCs/>
          <w:color w:val="000000"/>
          <w:sz w:val="18"/>
          <w:szCs w:val="18"/>
        </w:rPr>
      </w:pPr>
      <w:r w:rsidRPr="00844C9D">
        <w:rPr>
          <w:rFonts w:ascii="Arial" w:hAnsi="Arial" w:cs="Arial"/>
          <w:b/>
          <w:bCs/>
          <w:i/>
          <w:iCs/>
          <w:color w:val="000000"/>
          <w:sz w:val="18"/>
          <w:szCs w:val="18"/>
        </w:rPr>
        <w:t>Über TÜV Rheinland</w:t>
      </w:r>
    </w:p>
    <w:p w14:paraId="1D298006" w14:textId="3E4895D4" w:rsidR="00713E20" w:rsidRPr="00713E20" w:rsidRDefault="00713E20" w:rsidP="1D71AE0D">
      <w:pPr>
        <w:spacing w:line="260" w:lineRule="atLeast"/>
        <w:rPr>
          <w:rFonts w:ascii="Arial" w:hAnsi="Arial" w:cs="Arial"/>
          <w:i/>
          <w:iCs/>
          <w:sz w:val="18"/>
          <w:szCs w:val="18"/>
        </w:rPr>
      </w:pPr>
      <w:r w:rsidRPr="1D71AE0D">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1D71AE0D">
        <w:rPr>
          <w:rFonts w:ascii="Arial" w:hAnsi="Arial" w:cs="Arial"/>
          <w:i/>
          <w:iCs/>
          <w:sz w:val="18"/>
          <w:szCs w:val="18"/>
        </w:rPr>
        <w:t>2</w:t>
      </w:r>
      <w:r w:rsidRPr="1D71AE0D">
        <w:rPr>
          <w:rFonts w:ascii="Arial" w:hAnsi="Arial" w:cs="Arial"/>
          <w:i/>
          <w:iCs/>
          <w:sz w:val="18"/>
          <w:szCs w:val="18"/>
        </w:rPr>
        <w:t xml:space="preserve">.000 Mitarbeiterinnen und Mitarbeiter in über 50 Ländern und erzielt einen Jahresumsatz von </w:t>
      </w:r>
      <w:r w:rsidR="00A917A6" w:rsidRPr="1D71AE0D">
        <w:rPr>
          <w:rFonts w:ascii="Arial" w:hAnsi="Arial" w:cs="Arial"/>
          <w:i/>
          <w:iCs/>
          <w:sz w:val="18"/>
          <w:szCs w:val="18"/>
        </w:rPr>
        <w:t xml:space="preserve">mehr als </w:t>
      </w:r>
      <w:r w:rsidRPr="1D71AE0D">
        <w:rPr>
          <w:rFonts w:ascii="Arial" w:hAnsi="Arial" w:cs="Arial"/>
          <w:i/>
          <w:iCs/>
          <w:sz w:val="18"/>
          <w:szCs w:val="18"/>
        </w:rPr>
        <w:t>2,</w:t>
      </w:r>
      <w:r w:rsidR="00A917A6" w:rsidRPr="1D71AE0D">
        <w:rPr>
          <w:rFonts w:ascii="Arial" w:hAnsi="Arial" w:cs="Arial"/>
          <w:i/>
          <w:iCs/>
          <w:sz w:val="18"/>
          <w:szCs w:val="18"/>
        </w:rPr>
        <w:t>4</w:t>
      </w:r>
      <w:r w:rsidRPr="1D71AE0D">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1D71AE0D">
        <w:rPr>
          <w:rFonts w:ascii="Arial" w:hAnsi="Arial" w:cs="Arial"/>
          <w:i/>
          <w:iCs/>
          <w:sz w:val="18"/>
          <w:szCs w:val="18"/>
        </w:rPr>
        <w:t>in zahlreichen Berufen und zertifizieren</w:t>
      </w:r>
      <w:proofErr w:type="gramEnd"/>
      <w:r w:rsidRPr="1D71AE0D">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r w:rsidRPr="1D71AE0D">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A587CFA" w14:textId="473E46F3" w:rsidR="00B83B13" w:rsidRDefault="00713E20" w:rsidP="00713E20">
      <w:pPr>
        <w:widowControl w:val="0"/>
        <w:spacing w:after="0" w:line="280" w:lineRule="atLeast"/>
        <w:contextualSpacing/>
        <w:rPr>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p w14:paraId="414D4E38" w14:textId="77777777" w:rsidR="00B83B13" w:rsidRPr="00713E20" w:rsidRDefault="00B83B13" w:rsidP="00713E20">
      <w:pPr>
        <w:widowControl w:val="0"/>
        <w:spacing w:after="0" w:line="280" w:lineRule="atLeast"/>
        <w:contextualSpacing/>
        <w:rPr>
          <w:rFonts w:ascii="Arial" w:hAnsi="Arial" w:cs="Arial"/>
          <w:sz w:val="18"/>
          <w:szCs w:val="18"/>
        </w:rPr>
      </w:pPr>
    </w:p>
    <w:sectPr w:rsidR="00B83B13"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B635" w14:textId="77777777" w:rsidR="002E4F81" w:rsidRDefault="002E4F81" w:rsidP="00D72123">
      <w:pPr>
        <w:spacing w:after="0" w:line="240" w:lineRule="auto"/>
      </w:pPr>
      <w:r>
        <w:separator/>
      </w:r>
    </w:p>
  </w:endnote>
  <w:endnote w:type="continuationSeparator" w:id="0">
    <w:p w14:paraId="0718E930" w14:textId="77777777" w:rsidR="002E4F81" w:rsidRDefault="002E4F81" w:rsidP="00D72123">
      <w:pPr>
        <w:spacing w:after="0" w:line="240" w:lineRule="auto"/>
      </w:pPr>
      <w:r>
        <w:continuationSeparator/>
      </w:r>
    </w:p>
  </w:endnote>
  <w:endnote w:type="continuationNotice" w:id="1">
    <w:p w14:paraId="34FAAEFB" w14:textId="77777777" w:rsidR="002E4F81" w:rsidRDefault="002E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F6DD" w14:textId="77777777" w:rsidR="002E4F81" w:rsidRDefault="002E4F81" w:rsidP="00D72123">
      <w:pPr>
        <w:spacing w:after="0" w:line="240" w:lineRule="auto"/>
      </w:pPr>
      <w:r>
        <w:separator/>
      </w:r>
    </w:p>
  </w:footnote>
  <w:footnote w:type="continuationSeparator" w:id="0">
    <w:p w14:paraId="05BA8FA9" w14:textId="77777777" w:rsidR="002E4F81" w:rsidRDefault="002E4F81" w:rsidP="00D72123">
      <w:pPr>
        <w:spacing w:after="0" w:line="240" w:lineRule="auto"/>
      </w:pPr>
      <w:r>
        <w:continuationSeparator/>
      </w:r>
    </w:p>
  </w:footnote>
  <w:footnote w:type="continuationNotice" w:id="1">
    <w:p w14:paraId="0AC71C7A" w14:textId="77777777" w:rsidR="002E4F81" w:rsidRDefault="002E4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14D5FB2"/>
    <w:multiLevelType w:val="multilevel"/>
    <w:tmpl w:val="0682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479340">
    <w:abstractNumId w:val="1"/>
  </w:num>
  <w:num w:numId="2" w16cid:durableId="684481105">
    <w:abstractNumId w:val="0"/>
  </w:num>
  <w:num w:numId="3" w16cid:durableId="178638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11F0"/>
    <w:rsid w:val="00054D0A"/>
    <w:rsid w:val="00057CFA"/>
    <w:rsid w:val="00061BAD"/>
    <w:rsid w:val="00064B9D"/>
    <w:rsid w:val="0006533A"/>
    <w:rsid w:val="00086E85"/>
    <w:rsid w:val="00087C6A"/>
    <w:rsid w:val="000A4B26"/>
    <w:rsid w:val="000A57B5"/>
    <w:rsid w:val="000C65BE"/>
    <w:rsid w:val="000E1C4C"/>
    <w:rsid w:val="000E463C"/>
    <w:rsid w:val="000F1020"/>
    <w:rsid w:val="000F2434"/>
    <w:rsid w:val="001073FA"/>
    <w:rsid w:val="00124089"/>
    <w:rsid w:val="00150E4E"/>
    <w:rsid w:val="00154D0C"/>
    <w:rsid w:val="001644D0"/>
    <w:rsid w:val="00167FCC"/>
    <w:rsid w:val="00171B94"/>
    <w:rsid w:val="0017507C"/>
    <w:rsid w:val="00181C2F"/>
    <w:rsid w:val="001911E9"/>
    <w:rsid w:val="001A2B81"/>
    <w:rsid w:val="001B1ECA"/>
    <w:rsid w:val="001D18D1"/>
    <w:rsid w:val="001E4007"/>
    <w:rsid w:val="00201861"/>
    <w:rsid w:val="00214143"/>
    <w:rsid w:val="002207B1"/>
    <w:rsid w:val="00233554"/>
    <w:rsid w:val="00244F0F"/>
    <w:rsid w:val="0025449E"/>
    <w:rsid w:val="00264F71"/>
    <w:rsid w:val="002977DD"/>
    <w:rsid w:val="002A3CC4"/>
    <w:rsid w:val="002A3DA8"/>
    <w:rsid w:val="002B4D4D"/>
    <w:rsid w:val="002D64D8"/>
    <w:rsid w:val="002D665E"/>
    <w:rsid w:val="002E1C12"/>
    <w:rsid w:val="002E4F81"/>
    <w:rsid w:val="003000C1"/>
    <w:rsid w:val="003222D6"/>
    <w:rsid w:val="00327FC1"/>
    <w:rsid w:val="00330B36"/>
    <w:rsid w:val="0033662E"/>
    <w:rsid w:val="0034333A"/>
    <w:rsid w:val="00356470"/>
    <w:rsid w:val="0035674C"/>
    <w:rsid w:val="00357838"/>
    <w:rsid w:val="003A7EC6"/>
    <w:rsid w:val="003B66DE"/>
    <w:rsid w:val="003C3BE1"/>
    <w:rsid w:val="003C722D"/>
    <w:rsid w:val="003D2363"/>
    <w:rsid w:val="003E70CB"/>
    <w:rsid w:val="00403990"/>
    <w:rsid w:val="00406AAA"/>
    <w:rsid w:val="00414E75"/>
    <w:rsid w:val="00417DE6"/>
    <w:rsid w:val="00431F6C"/>
    <w:rsid w:val="00461A1B"/>
    <w:rsid w:val="0047723F"/>
    <w:rsid w:val="004869D2"/>
    <w:rsid w:val="00486CC5"/>
    <w:rsid w:val="0048770B"/>
    <w:rsid w:val="004D71EA"/>
    <w:rsid w:val="004E0AFA"/>
    <w:rsid w:val="004F0C38"/>
    <w:rsid w:val="00500879"/>
    <w:rsid w:val="005023C9"/>
    <w:rsid w:val="00510A87"/>
    <w:rsid w:val="00513296"/>
    <w:rsid w:val="00557F52"/>
    <w:rsid w:val="005657DF"/>
    <w:rsid w:val="00570583"/>
    <w:rsid w:val="0058780D"/>
    <w:rsid w:val="005900F5"/>
    <w:rsid w:val="005A47E1"/>
    <w:rsid w:val="005B2628"/>
    <w:rsid w:val="005C2271"/>
    <w:rsid w:val="005C39AF"/>
    <w:rsid w:val="005C4A8F"/>
    <w:rsid w:val="005D407F"/>
    <w:rsid w:val="005E2177"/>
    <w:rsid w:val="005E21D1"/>
    <w:rsid w:val="006057F0"/>
    <w:rsid w:val="00623A9C"/>
    <w:rsid w:val="00624234"/>
    <w:rsid w:val="00637FFE"/>
    <w:rsid w:val="006537E3"/>
    <w:rsid w:val="00673563"/>
    <w:rsid w:val="006A4796"/>
    <w:rsid w:val="006F71F3"/>
    <w:rsid w:val="00707004"/>
    <w:rsid w:val="00713E20"/>
    <w:rsid w:val="0071494C"/>
    <w:rsid w:val="007250CE"/>
    <w:rsid w:val="0074175C"/>
    <w:rsid w:val="00754CEE"/>
    <w:rsid w:val="007701C1"/>
    <w:rsid w:val="007D0597"/>
    <w:rsid w:val="007D250A"/>
    <w:rsid w:val="007D32E0"/>
    <w:rsid w:val="00832C0F"/>
    <w:rsid w:val="00832D9D"/>
    <w:rsid w:val="00844C9D"/>
    <w:rsid w:val="0085176A"/>
    <w:rsid w:val="008665C2"/>
    <w:rsid w:val="00870E2A"/>
    <w:rsid w:val="008863B3"/>
    <w:rsid w:val="008A630C"/>
    <w:rsid w:val="008B2C5A"/>
    <w:rsid w:val="008C3CEF"/>
    <w:rsid w:val="008C4EEA"/>
    <w:rsid w:val="008C7570"/>
    <w:rsid w:val="008D7592"/>
    <w:rsid w:val="008E1EEC"/>
    <w:rsid w:val="008E29CA"/>
    <w:rsid w:val="008E3E1F"/>
    <w:rsid w:val="008E3F04"/>
    <w:rsid w:val="008F159A"/>
    <w:rsid w:val="0090678C"/>
    <w:rsid w:val="00910393"/>
    <w:rsid w:val="00914B2B"/>
    <w:rsid w:val="00965509"/>
    <w:rsid w:val="00966212"/>
    <w:rsid w:val="00972400"/>
    <w:rsid w:val="009976AF"/>
    <w:rsid w:val="009D404E"/>
    <w:rsid w:val="009E1D20"/>
    <w:rsid w:val="009F1131"/>
    <w:rsid w:val="00A30E77"/>
    <w:rsid w:val="00A37A95"/>
    <w:rsid w:val="00A506C0"/>
    <w:rsid w:val="00A55FD9"/>
    <w:rsid w:val="00A56FB9"/>
    <w:rsid w:val="00A575CE"/>
    <w:rsid w:val="00A70478"/>
    <w:rsid w:val="00A836B2"/>
    <w:rsid w:val="00A84790"/>
    <w:rsid w:val="00A917A6"/>
    <w:rsid w:val="00A96D76"/>
    <w:rsid w:val="00AA5D40"/>
    <w:rsid w:val="00AB5977"/>
    <w:rsid w:val="00AC0CA7"/>
    <w:rsid w:val="00B13C9C"/>
    <w:rsid w:val="00B14C97"/>
    <w:rsid w:val="00B26031"/>
    <w:rsid w:val="00B43F5A"/>
    <w:rsid w:val="00B45F80"/>
    <w:rsid w:val="00B509EA"/>
    <w:rsid w:val="00B62302"/>
    <w:rsid w:val="00B705ED"/>
    <w:rsid w:val="00B7224A"/>
    <w:rsid w:val="00B73198"/>
    <w:rsid w:val="00B83B13"/>
    <w:rsid w:val="00BB1D8B"/>
    <w:rsid w:val="00BB4676"/>
    <w:rsid w:val="00C025C0"/>
    <w:rsid w:val="00C159DC"/>
    <w:rsid w:val="00C23770"/>
    <w:rsid w:val="00C3782D"/>
    <w:rsid w:val="00C45E98"/>
    <w:rsid w:val="00C56CF8"/>
    <w:rsid w:val="00C5715A"/>
    <w:rsid w:val="00C6773C"/>
    <w:rsid w:val="00C757A0"/>
    <w:rsid w:val="00C80DB3"/>
    <w:rsid w:val="00C81B8A"/>
    <w:rsid w:val="00C82B80"/>
    <w:rsid w:val="00C941AB"/>
    <w:rsid w:val="00C96952"/>
    <w:rsid w:val="00CB023F"/>
    <w:rsid w:val="00CB2873"/>
    <w:rsid w:val="00D06220"/>
    <w:rsid w:val="00D26793"/>
    <w:rsid w:val="00D46ADE"/>
    <w:rsid w:val="00D5228C"/>
    <w:rsid w:val="00D60257"/>
    <w:rsid w:val="00D70B62"/>
    <w:rsid w:val="00D72123"/>
    <w:rsid w:val="00D74432"/>
    <w:rsid w:val="00D76496"/>
    <w:rsid w:val="00DA100C"/>
    <w:rsid w:val="00DA3D25"/>
    <w:rsid w:val="00DC4ABD"/>
    <w:rsid w:val="00DD5808"/>
    <w:rsid w:val="00DF6F22"/>
    <w:rsid w:val="00E45661"/>
    <w:rsid w:val="00E65A37"/>
    <w:rsid w:val="00E73281"/>
    <w:rsid w:val="00E95F60"/>
    <w:rsid w:val="00EA487A"/>
    <w:rsid w:val="00EB2C21"/>
    <w:rsid w:val="00EC10CC"/>
    <w:rsid w:val="00EC60A0"/>
    <w:rsid w:val="00EE100B"/>
    <w:rsid w:val="00F07706"/>
    <w:rsid w:val="00F17684"/>
    <w:rsid w:val="00F2793F"/>
    <w:rsid w:val="00F369AD"/>
    <w:rsid w:val="00F64495"/>
    <w:rsid w:val="00F90D2F"/>
    <w:rsid w:val="00FB6643"/>
    <w:rsid w:val="00FB6FB4"/>
    <w:rsid w:val="00FD7E67"/>
    <w:rsid w:val="00FE5F16"/>
    <w:rsid w:val="00FF607E"/>
    <w:rsid w:val="07C9CBD2"/>
    <w:rsid w:val="132A59AC"/>
    <w:rsid w:val="13A2761B"/>
    <w:rsid w:val="1D5CB9F3"/>
    <w:rsid w:val="1D71AE0D"/>
    <w:rsid w:val="1E044E78"/>
    <w:rsid w:val="201EC0E1"/>
    <w:rsid w:val="28740BEA"/>
    <w:rsid w:val="2D46D3CA"/>
    <w:rsid w:val="39008127"/>
    <w:rsid w:val="39E372C8"/>
    <w:rsid w:val="3FFE4AA9"/>
    <w:rsid w:val="429B9CFC"/>
    <w:rsid w:val="4B9BE47E"/>
    <w:rsid w:val="4E6AC7E1"/>
    <w:rsid w:val="5F121E21"/>
    <w:rsid w:val="639EBDF9"/>
    <w:rsid w:val="65F96DB6"/>
    <w:rsid w:val="68CF3B01"/>
    <w:rsid w:val="6A1A12EA"/>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FFBA2F6B-5470-4343-B768-561E6C6D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403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E8F077B5-FF1B-43AA-AD9D-51C9D78D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4452</Characters>
  <Application>Microsoft Office Word</Application>
  <DocSecurity>0</DocSecurity>
  <Lines>37</Lines>
  <Paragraphs>10</Paragraphs>
  <ScaleCrop>false</ScaleCrop>
  <Company>TUV</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2</cp:revision>
  <cp:lastPrinted>2017-12-07T02:02:00Z</cp:lastPrinted>
  <dcterms:created xsi:type="dcterms:W3CDTF">2025-02-26T12:43:00Z</dcterms:created>
  <dcterms:modified xsi:type="dcterms:W3CDTF">2025-02-26T12:43:00Z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