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5548" w14:textId="4EE7A809" w:rsidR="00673563" w:rsidRPr="00317BD6" w:rsidRDefault="00AC7207" w:rsidP="00B16E4E">
      <w:pPr>
        <w:pStyle w:val="berschrift1"/>
        <w:numPr>
          <w:ilvl w:val="0"/>
          <w:numId w:val="0"/>
        </w:numPr>
        <w:tabs>
          <w:tab w:val="center" w:pos="4536"/>
          <w:tab w:val="right" w:pos="9072"/>
        </w:tabs>
        <w:spacing w:before="0" w:after="0" w:line="360" w:lineRule="auto"/>
        <w:ind w:right="-2"/>
        <w:jc w:val="both"/>
        <w:rPr>
          <w:rFonts w:eastAsia="Times New Roman" w:cs="Arial"/>
          <w:sz w:val="20"/>
          <w:szCs w:val="20"/>
          <w:u w:val="single"/>
          <w:lang w:eastAsia="de-DE"/>
        </w:rPr>
      </w:pPr>
      <w:r>
        <w:rPr>
          <w:rFonts w:eastAsia="Times New Roman" w:cs="Arial"/>
          <w:sz w:val="20"/>
          <w:szCs w:val="20"/>
          <w:u w:val="single"/>
          <w:lang w:eastAsia="de-DE"/>
        </w:rPr>
        <w:t xml:space="preserve">TÜV Rheinland: Weltherztag </w:t>
      </w:r>
      <w:r w:rsidR="002D1E69">
        <w:rPr>
          <w:rFonts w:eastAsia="Times New Roman" w:cs="Arial"/>
          <w:sz w:val="20"/>
          <w:szCs w:val="20"/>
          <w:u w:val="single"/>
          <w:lang w:eastAsia="de-DE"/>
        </w:rPr>
        <w:t>–</w:t>
      </w:r>
      <w:r>
        <w:rPr>
          <w:rFonts w:eastAsia="Times New Roman" w:cs="Arial"/>
          <w:sz w:val="20"/>
          <w:szCs w:val="20"/>
          <w:u w:val="single"/>
          <w:lang w:eastAsia="de-DE"/>
        </w:rPr>
        <w:t xml:space="preserve"> </w:t>
      </w:r>
      <w:r w:rsidR="002D1E69">
        <w:rPr>
          <w:rFonts w:eastAsia="Times New Roman" w:cs="Arial"/>
          <w:sz w:val="20"/>
          <w:szCs w:val="20"/>
          <w:u w:val="single"/>
          <w:lang w:eastAsia="de-DE"/>
        </w:rPr>
        <w:t xml:space="preserve">Herzgesundheit </w:t>
      </w:r>
      <w:r w:rsidR="005C6F9C">
        <w:rPr>
          <w:rFonts w:eastAsia="Times New Roman" w:cs="Arial"/>
          <w:sz w:val="20"/>
          <w:szCs w:val="20"/>
          <w:u w:val="single"/>
          <w:lang w:eastAsia="de-DE"/>
        </w:rPr>
        <w:t>am Arbeitsplatz</w:t>
      </w:r>
      <w:r w:rsidR="00B16E4E">
        <w:rPr>
          <w:rFonts w:eastAsia="Times New Roman" w:cs="Arial"/>
          <w:sz w:val="20"/>
          <w:szCs w:val="20"/>
          <w:u w:val="single"/>
          <w:lang w:eastAsia="de-DE"/>
        </w:rPr>
        <w:t xml:space="preserve"> fördern</w:t>
      </w:r>
    </w:p>
    <w:p w14:paraId="398B854B" w14:textId="1B73AAD9" w:rsidR="00673563" w:rsidRDefault="00816E86" w:rsidP="00B16E4E">
      <w:pPr>
        <w:spacing w:after="0" w:line="360" w:lineRule="auto"/>
        <w:ind w:right="-2"/>
        <w:jc w:val="both"/>
        <w:rPr>
          <w:rFonts w:ascii="Arial" w:eastAsia="Arial" w:hAnsi="Arial" w:cs="Arial"/>
          <w:sz w:val="20"/>
          <w:szCs w:val="20"/>
        </w:rPr>
      </w:pPr>
      <w:r>
        <w:rPr>
          <w:rFonts w:ascii="Arial" w:hAnsi="Arial" w:cs="Arial"/>
          <w:sz w:val="20"/>
          <w:szCs w:val="20"/>
        </w:rPr>
        <w:t>Weltherztag am 29. September</w:t>
      </w:r>
      <w:r w:rsidR="1E044E78" w:rsidRPr="429B9CFC">
        <w:rPr>
          <w:rFonts w:ascii="Arial" w:eastAsia="Arial" w:hAnsi="Arial" w:cs="Arial"/>
          <w:sz w:val="20"/>
          <w:szCs w:val="20"/>
        </w:rPr>
        <w:t xml:space="preserve"> /</w:t>
      </w:r>
      <w:r w:rsidR="00E95F60">
        <w:rPr>
          <w:rFonts w:ascii="Arial" w:eastAsia="Arial" w:hAnsi="Arial" w:cs="Arial"/>
          <w:sz w:val="20"/>
          <w:szCs w:val="20"/>
        </w:rPr>
        <w:t xml:space="preserve"> </w:t>
      </w:r>
      <w:r w:rsidR="00152315">
        <w:rPr>
          <w:rFonts w:ascii="Arial" w:eastAsia="Arial" w:hAnsi="Arial" w:cs="Arial"/>
          <w:sz w:val="20"/>
          <w:szCs w:val="20"/>
        </w:rPr>
        <w:t>Prävention im Berufsalltag stärken</w:t>
      </w:r>
      <w:r w:rsidR="00E95F60">
        <w:rPr>
          <w:rFonts w:ascii="Arial" w:eastAsia="Arial" w:hAnsi="Arial" w:cs="Arial"/>
          <w:sz w:val="20"/>
          <w:szCs w:val="20"/>
        </w:rPr>
        <w:t xml:space="preserve"> </w:t>
      </w:r>
      <w:r w:rsidR="001B72E1">
        <w:rPr>
          <w:rFonts w:ascii="Arial" w:eastAsia="Arial" w:hAnsi="Arial" w:cs="Arial"/>
          <w:sz w:val="20"/>
          <w:szCs w:val="20"/>
        </w:rPr>
        <w:t>/ Angebote für b</w:t>
      </w:r>
      <w:r w:rsidR="00152315">
        <w:rPr>
          <w:rFonts w:ascii="Arial" w:eastAsia="Arial" w:hAnsi="Arial" w:cs="Arial"/>
          <w:sz w:val="20"/>
          <w:szCs w:val="20"/>
        </w:rPr>
        <w:t>etriebliche Gesundheitsförderung</w:t>
      </w:r>
      <w:r w:rsidR="00B26031">
        <w:rPr>
          <w:rFonts w:ascii="Arial" w:eastAsia="Arial" w:hAnsi="Arial" w:cs="Arial"/>
          <w:sz w:val="20"/>
          <w:szCs w:val="20"/>
        </w:rPr>
        <w:t xml:space="preserve"> </w:t>
      </w:r>
      <w:r w:rsidR="001B72E1">
        <w:rPr>
          <w:rFonts w:ascii="Arial" w:eastAsia="Arial" w:hAnsi="Arial" w:cs="Arial"/>
          <w:sz w:val="20"/>
          <w:szCs w:val="20"/>
        </w:rPr>
        <w:t>und Wiedereingliederung schaffen</w:t>
      </w:r>
      <w:r w:rsidR="00624E11">
        <w:rPr>
          <w:rFonts w:ascii="Arial" w:eastAsia="Arial" w:hAnsi="Arial" w:cs="Arial"/>
          <w:sz w:val="20"/>
          <w:szCs w:val="20"/>
        </w:rPr>
        <w:t xml:space="preserve"> / TÜV Rheinland berät Unternehmen</w:t>
      </w:r>
      <w:r w:rsidR="00C67981">
        <w:rPr>
          <w:rFonts w:ascii="Arial" w:eastAsia="Arial" w:hAnsi="Arial" w:cs="Arial"/>
          <w:sz w:val="20"/>
          <w:szCs w:val="20"/>
        </w:rPr>
        <w:t xml:space="preserve"> hinsichtlich Arbeitgeberpflichten / </w:t>
      </w:r>
      <w:hyperlink r:id="rId11" w:history="1">
        <w:r w:rsidR="003E3746" w:rsidRPr="004115B7">
          <w:rPr>
            <w:rStyle w:val="Hyperlink"/>
            <w:rFonts w:ascii="Arial" w:eastAsia="Arial" w:hAnsi="Arial" w:cs="Arial"/>
            <w:sz w:val="20"/>
            <w:szCs w:val="20"/>
          </w:rPr>
          <w:t>www.tuv.com/bgm</w:t>
        </w:r>
      </w:hyperlink>
      <w:r w:rsidR="003E3746">
        <w:rPr>
          <w:rFonts w:ascii="Arial" w:eastAsia="Arial" w:hAnsi="Arial" w:cs="Arial"/>
          <w:sz w:val="20"/>
          <w:szCs w:val="20"/>
        </w:rPr>
        <w:t xml:space="preserve"> </w:t>
      </w:r>
    </w:p>
    <w:p w14:paraId="0A1E834A" w14:textId="77777777" w:rsidR="00FF607E" w:rsidRDefault="00FF607E" w:rsidP="00B16E4E">
      <w:pPr>
        <w:spacing w:line="360" w:lineRule="auto"/>
        <w:jc w:val="both"/>
        <w:rPr>
          <w:rFonts w:ascii="Arial" w:hAnsi="Arial" w:cs="Arial"/>
          <w:bCs/>
          <w:sz w:val="20"/>
          <w:szCs w:val="20"/>
        </w:rPr>
      </w:pPr>
    </w:p>
    <w:p w14:paraId="14792E3D" w14:textId="5D36413E" w:rsidR="00922CF2" w:rsidRDefault="00586F2B" w:rsidP="00B16E4E">
      <w:pPr>
        <w:tabs>
          <w:tab w:val="left" w:pos="720"/>
          <w:tab w:val="left" w:pos="7380"/>
        </w:tabs>
        <w:spacing w:after="0" w:line="360" w:lineRule="auto"/>
        <w:jc w:val="both"/>
        <w:rPr>
          <w:rFonts w:ascii="Arial" w:hAnsi="Arial" w:cs="Arial"/>
          <w:color w:val="000000"/>
          <w:sz w:val="20"/>
          <w:szCs w:val="20"/>
        </w:rPr>
      </w:pPr>
      <w:r w:rsidRPr="00586F2B">
        <w:rPr>
          <w:rFonts w:ascii="Arial" w:hAnsi="Arial" w:cs="Arial"/>
          <w:color w:val="000000"/>
          <w:sz w:val="20"/>
          <w:szCs w:val="20"/>
        </w:rPr>
        <w:t>Laut der Deutschen Herzstiftung gehören Herz-Kreislauf-Erkrankungen nach wie vor zu den häufigsten Todesursachen in Deutschland</w:t>
      </w:r>
      <w:r w:rsidR="00922CF2">
        <w:rPr>
          <w:rFonts w:ascii="Arial" w:hAnsi="Arial" w:cs="Arial"/>
          <w:color w:val="000000"/>
          <w:sz w:val="20"/>
          <w:szCs w:val="20"/>
        </w:rPr>
        <w:t xml:space="preserve">. </w:t>
      </w:r>
      <w:r w:rsidR="00922CF2" w:rsidRPr="00922CF2">
        <w:rPr>
          <w:rFonts w:ascii="Arial" w:hAnsi="Arial" w:cs="Arial"/>
          <w:color w:val="000000"/>
          <w:sz w:val="20"/>
          <w:szCs w:val="20"/>
        </w:rPr>
        <w:t>Im Jahr 2021 waren</w:t>
      </w:r>
      <w:r w:rsidR="00AE16A5">
        <w:rPr>
          <w:rFonts w:ascii="Arial" w:hAnsi="Arial" w:cs="Arial"/>
          <w:color w:val="000000"/>
          <w:sz w:val="20"/>
          <w:szCs w:val="20"/>
        </w:rPr>
        <w:t xml:space="preserve"> nach Angaben der Herzstiftung</w:t>
      </w:r>
      <w:r w:rsidR="00922CF2" w:rsidRPr="00922CF2">
        <w:rPr>
          <w:rFonts w:ascii="Arial" w:hAnsi="Arial" w:cs="Arial"/>
          <w:color w:val="000000"/>
          <w:sz w:val="20"/>
          <w:szCs w:val="20"/>
        </w:rPr>
        <w:t xml:space="preserve"> über 340.000 Todesfälle auf Erkrankungen des Herz-Kreislauf-Systems zurückzuführen, was mehr als einem Drittel aller Todesfälle entspricht. Besonders häufig treten die koronare Herzkrankheit (KHK) und Herzinsuffizienz auf</w:t>
      </w:r>
      <w:r w:rsidR="00431E56">
        <w:rPr>
          <w:rFonts w:ascii="Arial" w:hAnsi="Arial" w:cs="Arial"/>
          <w:color w:val="000000"/>
          <w:sz w:val="20"/>
          <w:szCs w:val="20"/>
        </w:rPr>
        <w:t>.</w:t>
      </w:r>
    </w:p>
    <w:p w14:paraId="0E7F62E0" w14:textId="77777777" w:rsidR="005C49D9" w:rsidRDefault="005C49D9" w:rsidP="00B16E4E">
      <w:pPr>
        <w:tabs>
          <w:tab w:val="left" w:pos="720"/>
          <w:tab w:val="left" w:pos="7380"/>
        </w:tabs>
        <w:spacing w:after="0" w:line="360" w:lineRule="auto"/>
        <w:jc w:val="both"/>
        <w:rPr>
          <w:rFonts w:ascii="Arial" w:hAnsi="Arial" w:cs="Arial"/>
          <w:color w:val="000000"/>
          <w:sz w:val="20"/>
          <w:szCs w:val="20"/>
        </w:rPr>
      </w:pPr>
    </w:p>
    <w:p w14:paraId="66764F79" w14:textId="5007F328" w:rsidR="00D804F8" w:rsidRDefault="000B419E" w:rsidP="00B16E4E">
      <w:pPr>
        <w:tabs>
          <w:tab w:val="left" w:pos="720"/>
          <w:tab w:val="left" w:pos="7380"/>
        </w:tabs>
        <w:spacing w:after="0" w:line="360" w:lineRule="auto"/>
        <w:jc w:val="both"/>
        <w:rPr>
          <w:rFonts w:ascii="Arial" w:hAnsi="Arial" w:cs="Arial"/>
          <w:b/>
          <w:bCs/>
          <w:color w:val="000000"/>
          <w:sz w:val="20"/>
          <w:szCs w:val="20"/>
        </w:rPr>
      </w:pPr>
      <w:r w:rsidRPr="000B419E">
        <w:rPr>
          <w:rFonts w:ascii="Arial" w:hAnsi="Arial" w:cs="Arial"/>
          <w:b/>
          <w:bCs/>
          <w:color w:val="000000"/>
          <w:sz w:val="20"/>
          <w:szCs w:val="20"/>
        </w:rPr>
        <w:t xml:space="preserve">Herzgesundheit durch Lebensstil unterstützen </w:t>
      </w:r>
    </w:p>
    <w:p w14:paraId="755C47E7" w14:textId="1817956C" w:rsidR="001066CD" w:rsidRDefault="001238DE" w:rsidP="00B16E4E">
      <w:pPr>
        <w:tabs>
          <w:tab w:val="left" w:pos="720"/>
          <w:tab w:val="left" w:pos="7380"/>
        </w:tabs>
        <w:spacing w:after="0" w:line="360" w:lineRule="auto"/>
        <w:jc w:val="both"/>
        <w:rPr>
          <w:rFonts w:ascii="Arial" w:hAnsi="Arial" w:cs="Arial"/>
          <w:color w:val="000000"/>
          <w:sz w:val="20"/>
          <w:szCs w:val="20"/>
        </w:rPr>
      </w:pPr>
      <w:r>
        <w:rPr>
          <w:rFonts w:ascii="Arial" w:hAnsi="Arial" w:cs="Arial"/>
          <w:color w:val="000000"/>
          <w:sz w:val="20"/>
          <w:szCs w:val="20"/>
        </w:rPr>
        <w:t>„</w:t>
      </w:r>
      <w:r w:rsidRPr="009F6411">
        <w:rPr>
          <w:rFonts w:ascii="Arial" w:hAnsi="Arial" w:cs="Arial"/>
          <w:color w:val="000000"/>
          <w:sz w:val="20"/>
          <w:szCs w:val="20"/>
        </w:rPr>
        <w:t xml:space="preserve">Eine koronare Herzkrankheit kann genetische Ursachen haben und familiär gehäuft auftreten. </w:t>
      </w:r>
      <w:r w:rsidR="009F6411">
        <w:rPr>
          <w:rFonts w:ascii="Arial" w:hAnsi="Arial" w:cs="Arial"/>
          <w:color w:val="000000"/>
          <w:sz w:val="20"/>
          <w:szCs w:val="20"/>
        </w:rPr>
        <w:t>D</w:t>
      </w:r>
      <w:r w:rsidR="001066CD" w:rsidRPr="00EF2290">
        <w:rPr>
          <w:rFonts w:ascii="Arial" w:hAnsi="Arial" w:cs="Arial"/>
          <w:color w:val="000000"/>
          <w:sz w:val="20"/>
          <w:szCs w:val="20"/>
        </w:rPr>
        <w:t xml:space="preserve">er Lebensstil spielt </w:t>
      </w:r>
      <w:r w:rsidRPr="00EF2290">
        <w:rPr>
          <w:rFonts w:ascii="Arial" w:hAnsi="Arial" w:cs="Arial"/>
          <w:color w:val="000000"/>
          <w:sz w:val="20"/>
          <w:szCs w:val="20"/>
        </w:rPr>
        <w:t xml:space="preserve">aber </w:t>
      </w:r>
      <w:r w:rsidR="001066CD" w:rsidRPr="00EF2290">
        <w:rPr>
          <w:rFonts w:ascii="Arial" w:hAnsi="Arial" w:cs="Arial"/>
          <w:color w:val="000000"/>
          <w:sz w:val="20"/>
          <w:szCs w:val="20"/>
        </w:rPr>
        <w:t>eine entscheidende Rolle für die Herzgesundheit</w:t>
      </w:r>
      <w:r w:rsidR="006D166C" w:rsidRPr="00EF2290">
        <w:rPr>
          <w:rFonts w:ascii="Arial" w:hAnsi="Arial" w:cs="Arial"/>
          <w:color w:val="000000"/>
          <w:sz w:val="20"/>
          <w:szCs w:val="20"/>
        </w:rPr>
        <w:t>“</w:t>
      </w:r>
      <w:r w:rsidR="001167BB" w:rsidRPr="00EF2290">
        <w:rPr>
          <w:rFonts w:ascii="Arial" w:hAnsi="Arial" w:cs="Arial"/>
          <w:color w:val="000000"/>
          <w:sz w:val="20"/>
          <w:szCs w:val="20"/>
        </w:rPr>
        <w:t>,</w:t>
      </w:r>
      <w:r w:rsidR="001167BB">
        <w:rPr>
          <w:rFonts w:ascii="Arial" w:hAnsi="Arial" w:cs="Arial"/>
          <w:color w:val="000000"/>
          <w:sz w:val="20"/>
          <w:szCs w:val="20"/>
        </w:rPr>
        <w:t xml:space="preserve"> erklärt Wiete Schramm von TÜV Rheinland, die Unternehmen hinsichtlich ihrer Arbeitgeber</w:t>
      </w:r>
      <w:r w:rsidR="0069738E">
        <w:rPr>
          <w:rFonts w:ascii="Arial" w:hAnsi="Arial" w:cs="Arial"/>
          <w:color w:val="000000"/>
          <w:sz w:val="20"/>
          <w:szCs w:val="20"/>
        </w:rPr>
        <w:t>aufgaben</w:t>
      </w:r>
      <w:r w:rsidR="001167BB">
        <w:rPr>
          <w:rFonts w:ascii="Arial" w:hAnsi="Arial" w:cs="Arial"/>
          <w:color w:val="000000"/>
          <w:sz w:val="20"/>
          <w:szCs w:val="20"/>
        </w:rPr>
        <w:t xml:space="preserve"> </w:t>
      </w:r>
      <w:r w:rsidR="001529B5">
        <w:rPr>
          <w:rFonts w:ascii="Arial" w:hAnsi="Arial" w:cs="Arial"/>
          <w:color w:val="000000"/>
          <w:sz w:val="20"/>
          <w:szCs w:val="20"/>
        </w:rPr>
        <w:t>in Sachen Gesundheitsschutz berät.</w:t>
      </w:r>
      <w:r w:rsidR="001066CD" w:rsidRPr="001066CD">
        <w:rPr>
          <w:rFonts w:ascii="Arial" w:hAnsi="Arial" w:cs="Arial"/>
          <w:color w:val="000000"/>
          <w:sz w:val="20"/>
          <w:szCs w:val="20"/>
        </w:rPr>
        <w:t xml:space="preserve"> </w:t>
      </w:r>
      <w:r w:rsidR="001529B5">
        <w:rPr>
          <w:rFonts w:ascii="Arial" w:hAnsi="Arial" w:cs="Arial"/>
          <w:color w:val="000000"/>
          <w:sz w:val="20"/>
          <w:szCs w:val="20"/>
        </w:rPr>
        <w:t>„</w:t>
      </w:r>
      <w:r w:rsidR="001066CD" w:rsidRPr="001066CD">
        <w:rPr>
          <w:rFonts w:ascii="Arial" w:hAnsi="Arial" w:cs="Arial"/>
          <w:color w:val="000000"/>
          <w:sz w:val="20"/>
          <w:szCs w:val="20"/>
        </w:rPr>
        <w:t xml:space="preserve">Viele Herz-Kreislauf-Erkrankungen entstehen </w:t>
      </w:r>
      <w:r w:rsidR="00E913CF">
        <w:rPr>
          <w:rFonts w:ascii="Arial" w:hAnsi="Arial" w:cs="Arial"/>
          <w:color w:val="000000"/>
          <w:sz w:val="20"/>
          <w:szCs w:val="20"/>
        </w:rPr>
        <w:t xml:space="preserve">unter anderem </w:t>
      </w:r>
      <w:r w:rsidR="001066CD" w:rsidRPr="001066CD">
        <w:rPr>
          <w:rFonts w:ascii="Arial" w:hAnsi="Arial" w:cs="Arial"/>
          <w:color w:val="000000"/>
          <w:sz w:val="20"/>
          <w:szCs w:val="20"/>
        </w:rPr>
        <w:t xml:space="preserve">durch vermeidbare Risikofaktoren wie Bewegungsmangel, </w:t>
      </w:r>
      <w:r w:rsidR="006E0D97">
        <w:rPr>
          <w:rFonts w:ascii="Arial" w:hAnsi="Arial" w:cs="Arial"/>
          <w:color w:val="000000"/>
          <w:sz w:val="20"/>
          <w:szCs w:val="20"/>
        </w:rPr>
        <w:t>unausgewogene</w:t>
      </w:r>
      <w:r w:rsidR="001066CD" w:rsidRPr="001066CD">
        <w:rPr>
          <w:rFonts w:ascii="Arial" w:hAnsi="Arial" w:cs="Arial"/>
          <w:color w:val="000000"/>
          <w:sz w:val="20"/>
          <w:szCs w:val="20"/>
        </w:rPr>
        <w:t xml:space="preserve"> Ernährung</w:t>
      </w:r>
      <w:r w:rsidR="001066CD">
        <w:rPr>
          <w:rFonts w:ascii="Arial" w:hAnsi="Arial" w:cs="Arial"/>
          <w:color w:val="000000"/>
          <w:sz w:val="20"/>
          <w:szCs w:val="20"/>
        </w:rPr>
        <w:t xml:space="preserve"> oder</w:t>
      </w:r>
      <w:r w:rsidR="001066CD" w:rsidRPr="001066CD">
        <w:rPr>
          <w:rFonts w:ascii="Arial" w:hAnsi="Arial" w:cs="Arial"/>
          <w:color w:val="000000"/>
          <w:sz w:val="20"/>
          <w:szCs w:val="20"/>
        </w:rPr>
        <w:t xml:space="preserve"> Rauchen</w:t>
      </w:r>
      <w:r w:rsidR="001066CD">
        <w:rPr>
          <w:rFonts w:ascii="Arial" w:hAnsi="Arial" w:cs="Arial"/>
          <w:color w:val="000000"/>
          <w:sz w:val="20"/>
          <w:szCs w:val="20"/>
        </w:rPr>
        <w:t xml:space="preserve">. </w:t>
      </w:r>
      <w:r w:rsidR="001066CD" w:rsidRPr="001066CD">
        <w:rPr>
          <w:rFonts w:ascii="Arial" w:hAnsi="Arial" w:cs="Arial"/>
          <w:color w:val="000000"/>
          <w:sz w:val="20"/>
          <w:szCs w:val="20"/>
        </w:rPr>
        <w:t xml:space="preserve">Besonders für </w:t>
      </w:r>
      <w:r w:rsidR="00E913CF">
        <w:rPr>
          <w:rFonts w:ascii="Arial" w:hAnsi="Arial" w:cs="Arial"/>
          <w:color w:val="000000"/>
          <w:sz w:val="20"/>
          <w:szCs w:val="20"/>
        </w:rPr>
        <w:t>Beschäftigte</w:t>
      </w:r>
      <w:r w:rsidR="00662D35">
        <w:rPr>
          <w:rFonts w:ascii="Arial" w:hAnsi="Arial" w:cs="Arial"/>
          <w:color w:val="000000"/>
          <w:sz w:val="20"/>
          <w:szCs w:val="20"/>
        </w:rPr>
        <w:t>, die für längere Zeit sitzen</w:t>
      </w:r>
      <w:r w:rsidR="00E913CF">
        <w:rPr>
          <w:rFonts w:ascii="Arial" w:hAnsi="Arial" w:cs="Arial"/>
          <w:color w:val="000000"/>
          <w:sz w:val="20"/>
          <w:szCs w:val="20"/>
        </w:rPr>
        <w:t>d arbeiten</w:t>
      </w:r>
      <w:r w:rsidR="00662D35">
        <w:rPr>
          <w:rFonts w:ascii="Arial" w:hAnsi="Arial" w:cs="Arial"/>
          <w:color w:val="000000"/>
          <w:sz w:val="20"/>
          <w:szCs w:val="20"/>
        </w:rPr>
        <w:t xml:space="preserve">, </w:t>
      </w:r>
      <w:r w:rsidR="001066CD" w:rsidRPr="001066CD">
        <w:rPr>
          <w:rFonts w:ascii="Arial" w:hAnsi="Arial" w:cs="Arial"/>
          <w:color w:val="000000"/>
          <w:sz w:val="20"/>
          <w:szCs w:val="20"/>
        </w:rPr>
        <w:t xml:space="preserve">ist es wichtig, einen körperlichen Ausgleich zu schaffen. Hier können </w:t>
      </w:r>
      <w:r w:rsidR="00804050">
        <w:rPr>
          <w:rFonts w:ascii="Arial" w:hAnsi="Arial" w:cs="Arial"/>
          <w:color w:val="000000"/>
          <w:sz w:val="20"/>
          <w:szCs w:val="20"/>
        </w:rPr>
        <w:t>bereits</w:t>
      </w:r>
      <w:r w:rsidR="00662D35">
        <w:rPr>
          <w:rFonts w:ascii="Arial" w:hAnsi="Arial" w:cs="Arial"/>
          <w:color w:val="000000"/>
          <w:sz w:val="20"/>
          <w:szCs w:val="20"/>
        </w:rPr>
        <w:t xml:space="preserve"> </w:t>
      </w:r>
      <w:r w:rsidR="001066CD" w:rsidRPr="001066CD">
        <w:rPr>
          <w:rFonts w:ascii="Arial" w:hAnsi="Arial" w:cs="Arial"/>
          <w:color w:val="000000"/>
          <w:sz w:val="20"/>
          <w:szCs w:val="20"/>
        </w:rPr>
        <w:t xml:space="preserve">kleine Änderungen im Alltag helfen: </w:t>
      </w:r>
      <w:r w:rsidR="006E0D97">
        <w:rPr>
          <w:rFonts w:ascii="Arial" w:hAnsi="Arial" w:cs="Arial"/>
          <w:color w:val="000000"/>
          <w:sz w:val="20"/>
          <w:szCs w:val="20"/>
        </w:rPr>
        <w:t>Auf dem Arbeitsweg e</w:t>
      </w:r>
      <w:r w:rsidR="001066CD" w:rsidRPr="001066CD">
        <w:rPr>
          <w:rFonts w:ascii="Arial" w:hAnsi="Arial" w:cs="Arial"/>
          <w:color w:val="000000"/>
          <w:sz w:val="20"/>
          <w:szCs w:val="20"/>
        </w:rPr>
        <w:t>ine Haltestelle früher aussteige</w:t>
      </w:r>
      <w:r w:rsidR="006E0D97">
        <w:rPr>
          <w:rFonts w:ascii="Arial" w:hAnsi="Arial" w:cs="Arial"/>
          <w:color w:val="000000"/>
          <w:sz w:val="20"/>
          <w:szCs w:val="20"/>
        </w:rPr>
        <w:t>n</w:t>
      </w:r>
      <w:r w:rsidR="001066CD" w:rsidRPr="001066CD">
        <w:rPr>
          <w:rFonts w:ascii="Arial" w:hAnsi="Arial" w:cs="Arial"/>
          <w:color w:val="000000"/>
          <w:sz w:val="20"/>
          <w:szCs w:val="20"/>
        </w:rPr>
        <w:t>, in der Mittagspause einen Spaziergang machen oder statt des Aufzugs die Treppe nehmen.</w:t>
      </w:r>
      <w:r w:rsidR="00D9716F">
        <w:rPr>
          <w:rFonts w:ascii="Arial" w:hAnsi="Arial" w:cs="Arial"/>
          <w:color w:val="000000"/>
          <w:sz w:val="20"/>
          <w:szCs w:val="20"/>
        </w:rPr>
        <w:t>“</w:t>
      </w:r>
    </w:p>
    <w:p w14:paraId="21377138" w14:textId="77777777" w:rsidR="00D804F8" w:rsidRDefault="00D804F8" w:rsidP="00B16E4E">
      <w:pPr>
        <w:tabs>
          <w:tab w:val="left" w:pos="720"/>
          <w:tab w:val="left" w:pos="7380"/>
        </w:tabs>
        <w:spacing w:after="0" w:line="360" w:lineRule="auto"/>
        <w:jc w:val="both"/>
        <w:rPr>
          <w:rFonts w:ascii="Arial" w:hAnsi="Arial" w:cs="Arial"/>
          <w:color w:val="000000"/>
          <w:sz w:val="20"/>
          <w:szCs w:val="20"/>
        </w:rPr>
      </w:pPr>
    </w:p>
    <w:p w14:paraId="20E84398" w14:textId="0DE8AB71" w:rsidR="006E0D97" w:rsidRPr="00D804F8" w:rsidRDefault="00D804F8" w:rsidP="00B16E4E">
      <w:pPr>
        <w:tabs>
          <w:tab w:val="left" w:pos="720"/>
          <w:tab w:val="left" w:pos="7380"/>
        </w:tabs>
        <w:spacing w:after="0" w:line="360" w:lineRule="auto"/>
        <w:jc w:val="both"/>
        <w:rPr>
          <w:rFonts w:ascii="Arial" w:hAnsi="Arial" w:cs="Arial"/>
          <w:b/>
          <w:bCs/>
          <w:color w:val="000000"/>
          <w:sz w:val="20"/>
          <w:szCs w:val="20"/>
        </w:rPr>
      </w:pPr>
      <w:r w:rsidRPr="00C76AF4">
        <w:rPr>
          <w:rFonts w:ascii="Arial" w:hAnsi="Arial" w:cs="Arial"/>
          <w:b/>
          <w:bCs/>
          <w:color w:val="000000"/>
          <w:sz w:val="20"/>
          <w:szCs w:val="20"/>
        </w:rPr>
        <w:t>Gesunde Gewohnheiten – auch am Arbeitsplatz</w:t>
      </w:r>
    </w:p>
    <w:p w14:paraId="705940F5" w14:textId="47685D70" w:rsidR="002A2BF9" w:rsidRDefault="006E0D97" w:rsidP="00B16E4E">
      <w:pPr>
        <w:tabs>
          <w:tab w:val="left" w:pos="720"/>
          <w:tab w:val="left" w:pos="7380"/>
        </w:tabs>
        <w:spacing w:after="0" w:line="360" w:lineRule="auto"/>
        <w:jc w:val="both"/>
        <w:rPr>
          <w:rFonts w:ascii="Arial" w:hAnsi="Arial" w:cs="Arial"/>
          <w:color w:val="000000"/>
          <w:sz w:val="20"/>
          <w:szCs w:val="20"/>
        </w:rPr>
      </w:pPr>
      <w:r w:rsidRPr="006E0D97">
        <w:rPr>
          <w:rFonts w:ascii="Arial" w:hAnsi="Arial" w:cs="Arial"/>
          <w:color w:val="000000"/>
          <w:sz w:val="20"/>
          <w:szCs w:val="20"/>
        </w:rPr>
        <w:t xml:space="preserve">Auch am Arbeitsplatz gibt es zahlreiche Möglichkeiten, Herz-Kreislauf-Erkrankungen vorzubeugen. „Im Arbeitsumfeld ist es wichtig, alle Beteiligten für das Thema Herz-Kreislauf-Gesundheit zu sensibilisieren und die individuelle Gesundheitskompetenz zu stärken“, </w:t>
      </w:r>
      <w:r w:rsidR="00D9716F">
        <w:rPr>
          <w:rFonts w:ascii="Arial" w:hAnsi="Arial" w:cs="Arial"/>
          <w:color w:val="000000"/>
          <w:sz w:val="20"/>
          <w:szCs w:val="20"/>
        </w:rPr>
        <w:t>so Schramm</w:t>
      </w:r>
      <w:r w:rsidRPr="006E0D97">
        <w:rPr>
          <w:rFonts w:ascii="Arial" w:hAnsi="Arial" w:cs="Arial"/>
          <w:color w:val="000000"/>
          <w:sz w:val="20"/>
          <w:szCs w:val="20"/>
        </w:rPr>
        <w:t xml:space="preserve">. </w:t>
      </w:r>
      <w:r w:rsidR="00E50D83">
        <w:rPr>
          <w:rFonts w:ascii="Arial" w:hAnsi="Arial" w:cs="Arial"/>
          <w:color w:val="000000"/>
          <w:sz w:val="20"/>
          <w:szCs w:val="20"/>
        </w:rPr>
        <w:t>Im Rahmen arbeitsmedizinischer Betreuung und Vorsorge können Betriebsärztinnen und Betriebsärzte berufliche Risikofaktoren von Mitarbeitenden wie Stress oder körperliche Belastung beurteilen sowie zu Präventivmaßnahmen beraten.</w:t>
      </w:r>
      <w:r w:rsidR="00804050">
        <w:rPr>
          <w:rFonts w:ascii="Arial" w:hAnsi="Arial" w:cs="Arial"/>
          <w:color w:val="000000"/>
          <w:sz w:val="20"/>
          <w:szCs w:val="20"/>
        </w:rPr>
        <w:t xml:space="preserve"> </w:t>
      </w:r>
    </w:p>
    <w:p w14:paraId="333D907E" w14:textId="77777777" w:rsidR="002A2BF9" w:rsidRDefault="002A2BF9" w:rsidP="00B16E4E">
      <w:pPr>
        <w:tabs>
          <w:tab w:val="left" w:pos="720"/>
          <w:tab w:val="left" w:pos="7380"/>
        </w:tabs>
        <w:spacing w:after="0" w:line="360" w:lineRule="auto"/>
        <w:jc w:val="both"/>
        <w:rPr>
          <w:rFonts w:ascii="Arial" w:hAnsi="Arial" w:cs="Arial"/>
          <w:color w:val="000000"/>
          <w:sz w:val="20"/>
          <w:szCs w:val="20"/>
        </w:rPr>
      </w:pPr>
    </w:p>
    <w:p w14:paraId="090A08C6" w14:textId="77777777" w:rsidR="00C835ED" w:rsidRPr="00C835ED" w:rsidRDefault="00C835ED" w:rsidP="00C835ED">
      <w:pPr>
        <w:tabs>
          <w:tab w:val="left" w:pos="720"/>
          <w:tab w:val="left" w:pos="7380"/>
        </w:tabs>
        <w:spacing w:after="0" w:line="360" w:lineRule="auto"/>
        <w:jc w:val="both"/>
        <w:rPr>
          <w:rFonts w:ascii="Arial" w:hAnsi="Arial" w:cs="Arial"/>
          <w:color w:val="000000"/>
          <w:sz w:val="20"/>
          <w:szCs w:val="20"/>
        </w:rPr>
      </w:pPr>
      <w:r w:rsidRPr="00C835ED">
        <w:rPr>
          <w:rFonts w:ascii="Arial" w:hAnsi="Arial" w:cs="Arial"/>
          <w:color w:val="000000"/>
          <w:sz w:val="20"/>
          <w:szCs w:val="20"/>
        </w:rPr>
        <w:t>Ergänzend dazu bieten Gesundheits-Screenings eine wertvolle Möglichkeit, frühzeitig Auffälligkeiten im Herz-Kreislauf-System zu identifizieren und spezifische Zielgruppen zu definieren, die von ganzheitlich ausgerichteten Präventionsprogrammen besonders profitieren können.</w:t>
      </w:r>
    </w:p>
    <w:p w14:paraId="3B497F21" w14:textId="4566EE51" w:rsidR="00C835ED" w:rsidRDefault="00C835ED" w:rsidP="00C835ED">
      <w:pPr>
        <w:tabs>
          <w:tab w:val="left" w:pos="720"/>
          <w:tab w:val="left" w:pos="7380"/>
        </w:tabs>
        <w:spacing w:after="0" w:line="360" w:lineRule="auto"/>
        <w:jc w:val="both"/>
        <w:rPr>
          <w:rFonts w:ascii="Arial" w:hAnsi="Arial" w:cs="Arial"/>
          <w:color w:val="000000"/>
          <w:sz w:val="20"/>
          <w:szCs w:val="20"/>
        </w:rPr>
      </w:pPr>
      <w:r w:rsidRPr="00C835ED">
        <w:rPr>
          <w:rFonts w:ascii="Arial" w:hAnsi="Arial" w:cs="Arial"/>
          <w:color w:val="000000"/>
          <w:sz w:val="20"/>
          <w:szCs w:val="20"/>
        </w:rPr>
        <w:lastRenderedPageBreak/>
        <w:t>Unternehmen können zudem die Gesundheit ihrer Mitarbeitenden aktiv fördern, indem sie gezielte Angebote der betrieblichen Gesundheitsförderung (BGF) bereitstellen. Dazu gehören Maßnahmen wie Bewegungsprogramme, Ernährungsberatungen, Stressbewältigungskurse oder der Teilnahme an Gesundheitskursen. Diese Initiativen tragen nicht nur zur Prävention von Herz-Kreislauf-Erkrankungen bei, sondern fördern auch das allgemeine Wohlbefinden und die langfristige Gesundheit der Belegschaft.</w:t>
      </w:r>
    </w:p>
    <w:p w14:paraId="35FACC7B" w14:textId="77777777" w:rsidR="00C835ED" w:rsidRPr="00C835ED" w:rsidRDefault="00C835ED" w:rsidP="00C835ED">
      <w:pPr>
        <w:tabs>
          <w:tab w:val="left" w:pos="720"/>
          <w:tab w:val="left" w:pos="7380"/>
        </w:tabs>
        <w:spacing w:after="0" w:line="360" w:lineRule="auto"/>
        <w:jc w:val="both"/>
        <w:rPr>
          <w:rFonts w:ascii="Arial" w:hAnsi="Arial" w:cs="Arial"/>
          <w:color w:val="000000"/>
          <w:sz w:val="20"/>
          <w:szCs w:val="20"/>
        </w:rPr>
      </w:pPr>
    </w:p>
    <w:p w14:paraId="49A6A52D" w14:textId="60B3A5DA" w:rsidR="00994D45" w:rsidRDefault="007E06AC" w:rsidP="00B16E4E">
      <w:pPr>
        <w:tabs>
          <w:tab w:val="left" w:pos="720"/>
          <w:tab w:val="left" w:pos="7380"/>
        </w:tabs>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Zurück in den Beruf: </w:t>
      </w:r>
      <w:r w:rsidR="00994D45" w:rsidRPr="00994D45">
        <w:rPr>
          <w:rFonts w:ascii="Arial" w:hAnsi="Arial" w:cs="Arial"/>
          <w:b/>
          <w:bCs/>
          <w:color w:val="000000"/>
          <w:sz w:val="20"/>
          <w:szCs w:val="20"/>
        </w:rPr>
        <w:t xml:space="preserve">Stufenweise Wiedereingliederung </w:t>
      </w:r>
    </w:p>
    <w:p w14:paraId="269D1895" w14:textId="16B9BAB3" w:rsidR="00994D45" w:rsidRDefault="006D0C40" w:rsidP="00B16E4E">
      <w:pPr>
        <w:tabs>
          <w:tab w:val="left" w:pos="720"/>
          <w:tab w:val="left" w:pos="7380"/>
        </w:tabs>
        <w:spacing w:after="0" w:line="360" w:lineRule="auto"/>
        <w:jc w:val="both"/>
        <w:rPr>
          <w:rFonts w:ascii="Arial" w:hAnsi="Arial" w:cs="Arial"/>
          <w:color w:val="000000"/>
          <w:sz w:val="20"/>
          <w:szCs w:val="20"/>
        </w:rPr>
      </w:pPr>
      <w:r w:rsidRPr="006D0C40">
        <w:rPr>
          <w:rFonts w:ascii="Arial" w:hAnsi="Arial" w:cs="Arial"/>
          <w:color w:val="000000"/>
          <w:sz w:val="20"/>
          <w:szCs w:val="20"/>
        </w:rPr>
        <w:t xml:space="preserve">Herz-Kreislauf-Erkrankungen führen häufig zu längerer Arbeitsunfähigkeit. Bei </w:t>
      </w:r>
      <w:r w:rsidR="007D6377">
        <w:rPr>
          <w:rFonts w:ascii="Arial" w:hAnsi="Arial" w:cs="Arial"/>
          <w:color w:val="000000"/>
          <w:sz w:val="20"/>
          <w:szCs w:val="20"/>
        </w:rPr>
        <w:t xml:space="preserve">einer ununterbrochenen oder wiederholten Arbeitsunfähigkeit von </w:t>
      </w:r>
      <w:r w:rsidRPr="006D0C40">
        <w:rPr>
          <w:rFonts w:ascii="Arial" w:hAnsi="Arial" w:cs="Arial"/>
          <w:color w:val="000000"/>
          <w:sz w:val="20"/>
          <w:szCs w:val="20"/>
        </w:rPr>
        <w:t xml:space="preserve">über sechs Wochen innerhalb eines Jahres müssen Arbeitgeber ein betriebliches Eingliederungsmanagement (BEM) durchführen. </w:t>
      </w:r>
      <w:r>
        <w:rPr>
          <w:rFonts w:ascii="Arial" w:hAnsi="Arial" w:cs="Arial"/>
          <w:color w:val="000000"/>
          <w:sz w:val="20"/>
          <w:szCs w:val="20"/>
        </w:rPr>
        <w:t xml:space="preserve">Das BEM </w:t>
      </w:r>
      <w:r w:rsidR="0008510A">
        <w:rPr>
          <w:rFonts w:ascii="Arial" w:hAnsi="Arial" w:cs="Arial"/>
          <w:color w:val="000000"/>
          <w:sz w:val="20"/>
          <w:szCs w:val="20"/>
        </w:rPr>
        <w:t xml:space="preserve">kann eine </w:t>
      </w:r>
      <w:r w:rsidR="006219E2">
        <w:rPr>
          <w:rFonts w:ascii="Arial" w:hAnsi="Arial" w:cs="Arial"/>
          <w:color w:val="000000"/>
          <w:sz w:val="20"/>
          <w:szCs w:val="20"/>
        </w:rPr>
        <w:t>Chance für Arbeitgeber darstellen,</w:t>
      </w:r>
      <w:r w:rsidR="00AD7A93">
        <w:rPr>
          <w:rFonts w:ascii="Arial" w:hAnsi="Arial" w:cs="Arial"/>
          <w:color w:val="000000"/>
          <w:sz w:val="20"/>
          <w:szCs w:val="20"/>
        </w:rPr>
        <w:t xml:space="preserve"> mit individuell angepassten Hilfen und Maßnahmen</w:t>
      </w:r>
      <w:r w:rsidR="006219E2">
        <w:rPr>
          <w:rFonts w:ascii="Arial" w:hAnsi="Arial" w:cs="Arial"/>
          <w:color w:val="000000"/>
          <w:sz w:val="20"/>
          <w:szCs w:val="20"/>
        </w:rPr>
        <w:t xml:space="preserve"> Mitarbeitende </w:t>
      </w:r>
      <w:r w:rsidR="0042579B">
        <w:rPr>
          <w:rFonts w:ascii="Arial" w:hAnsi="Arial" w:cs="Arial"/>
          <w:color w:val="000000"/>
          <w:sz w:val="20"/>
          <w:szCs w:val="20"/>
        </w:rPr>
        <w:t xml:space="preserve">dauerhaft an ihren Arbeitsplatz </w:t>
      </w:r>
      <w:r w:rsidR="00AD7A93">
        <w:rPr>
          <w:rFonts w:ascii="Arial" w:hAnsi="Arial" w:cs="Arial"/>
          <w:color w:val="000000"/>
          <w:sz w:val="20"/>
          <w:szCs w:val="20"/>
        </w:rPr>
        <w:t>zurückzuholen</w:t>
      </w:r>
      <w:r w:rsidR="0042579B">
        <w:rPr>
          <w:rFonts w:ascii="Arial" w:hAnsi="Arial" w:cs="Arial"/>
          <w:color w:val="000000"/>
          <w:sz w:val="20"/>
          <w:szCs w:val="20"/>
        </w:rPr>
        <w:t>.</w:t>
      </w:r>
      <w:r w:rsidR="007D6377">
        <w:rPr>
          <w:rFonts w:ascii="Arial" w:hAnsi="Arial" w:cs="Arial"/>
          <w:color w:val="000000"/>
          <w:sz w:val="20"/>
          <w:szCs w:val="20"/>
        </w:rPr>
        <w:t xml:space="preserve"> Eine Maßnahme im BEM-Verfahren kann bspw. eine stufenweise Wiedereingliederung sein</w:t>
      </w:r>
      <w:r w:rsidR="005109FD">
        <w:rPr>
          <w:rFonts w:ascii="Arial" w:hAnsi="Arial" w:cs="Arial"/>
          <w:color w:val="000000"/>
          <w:sz w:val="20"/>
          <w:szCs w:val="20"/>
        </w:rPr>
        <w:t xml:space="preserve">. </w:t>
      </w:r>
      <w:r w:rsidR="007D6377">
        <w:rPr>
          <w:rFonts w:ascii="Arial" w:hAnsi="Arial" w:cs="Arial"/>
          <w:color w:val="000000"/>
          <w:sz w:val="20"/>
          <w:szCs w:val="20"/>
        </w:rPr>
        <w:t>Sie ermöglicht</w:t>
      </w:r>
      <w:r w:rsidR="007D6377" w:rsidRPr="007D6377">
        <w:rPr>
          <w:rFonts w:ascii="Arial" w:hAnsi="Arial" w:cs="Arial"/>
          <w:color w:val="000000"/>
          <w:sz w:val="20"/>
          <w:szCs w:val="20"/>
        </w:rPr>
        <w:t xml:space="preserve"> </w:t>
      </w:r>
      <w:r w:rsidR="007D6377">
        <w:rPr>
          <w:rFonts w:ascii="Arial" w:hAnsi="Arial" w:cs="Arial"/>
          <w:color w:val="000000"/>
          <w:sz w:val="20"/>
          <w:szCs w:val="20"/>
        </w:rPr>
        <w:t>Mitarbeitenden</w:t>
      </w:r>
      <w:r w:rsidR="007D6377" w:rsidRPr="007D6377">
        <w:rPr>
          <w:rFonts w:ascii="Arial" w:hAnsi="Arial" w:cs="Arial"/>
          <w:color w:val="000000"/>
          <w:sz w:val="20"/>
          <w:szCs w:val="20"/>
        </w:rPr>
        <w:t>, nach einer Erkrankung</w:t>
      </w:r>
      <w:r w:rsidR="005109FD">
        <w:rPr>
          <w:rFonts w:ascii="Arial" w:hAnsi="Arial" w:cs="Arial"/>
          <w:color w:val="000000"/>
          <w:sz w:val="20"/>
          <w:szCs w:val="20"/>
        </w:rPr>
        <w:t xml:space="preserve"> schrittweise</w:t>
      </w:r>
      <w:r w:rsidR="007D6377" w:rsidRPr="007D6377">
        <w:rPr>
          <w:rFonts w:ascii="Arial" w:hAnsi="Arial" w:cs="Arial"/>
          <w:color w:val="000000"/>
          <w:sz w:val="20"/>
          <w:szCs w:val="20"/>
        </w:rPr>
        <w:t xml:space="preserve"> zurück ins Berufsleben zu finden und sich langsam wieder an den Arbeitsalltag zu gewöhnen.</w:t>
      </w:r>
      <w:r w:rsidR="007D6377" w:rsidRPr="00232D6A" w:rsidDel="007D6377">
        <w:rPr>
          <w:rFonts w:ascii="Arial" w:hAnsi="Arial" w:cs="Arial"/>
          <w:color w:val="000000"/>
          <w:sz w:val="20"/>
          <w:szCs w:val="20"/>
        </w:rPr>
        <w:t xml:space="preserve"> </w:t>
      </w:r>
      <w:r w:rsidR="005109FD">
        <w:rPr>
          <w:rFonts w:ascii="Arial" w:hAnsi="Arial" w:cs="Arial"/>
          <w:color w:val="000000"/>
          <w:sz w:val="20"/>
          <w:szCs w:val="20"/>
        </w:rPr>
        <w:t>Die Maßnahme startet bereits bei noch bestehender Arbeitsunfähigkeit, aber nur, wenn die zuständigen Sozialversicherungsträger und der Arbeitgeber zustimmen und wenn absehbar ist, dass Mitarbeitende bald wieder zurückkehren können. Auch der Mitarbeitende darf hier mitentscheiden, nichts passiert im BEM und in der stufenweisen Wiedereingliederung ohne seine Zustimmung.</w:t>
      </w:r>
      <w:r w:rsidR="005109FD" w:rsidRPr="005109FD">
        <w:t xml:space="preserve"> </w:t>
      </w:r>
      <w:r w:rsidR="005109FD">
        <w:t xml:space="preserve">Da </w:t>
      </w:r>
      <w:r w:rsidR="005109FD">
        <w:rPr>
          <w:rFonts w:ascii="Arial" w:hAnsi="Arial" w:cs="Arial"/>
          <w:color w:val="000000"/>
          <w:sz w:val="20"/>
          <w:szCs w:val="20"/>
        </w:rPr>
        <w:t>d</w:t>
      </w:r>
      <w:r w:rsidR="005109FD" w:rsidRPr="005109FD">
        <w:rPr>
          <w:rFonts w:ascii="Arial" w:hAnsi="Arial" w:cs="Arial"/>
          <w:color w:val="000000"/>
          <w:sz w:val="20"/>
          <w:szCs w:val="20"/>
        </w:rPr>
        <w:t xml:space="preserve">ie Rückkehr in den </w:t>
      </w:r>
      <w:r w:rsidR="005109FD">
        <w:rPr>
          <w:rFonts w:ascii="Arial" w:hAnsi="Arial" w:cs="Arial"/>
          <w:color w:val="000000"/>
          <w:sz w:val="20"/>
          <w:szCs w:val="20"/>
        </w:rPr>
        <w:t>Job auch von</w:t>
      </w:r>
      <w:r w:rsidR="005109FD" w:rsidRPr="005109FD">
        <w:rPr>
          <w:rFonts w:ascii="Arial" w:hAnsi="Arial" w:cs="Arial"/>
          <w:color w:val="000000"/>
          <w:sz w:val="20"/>
          <w:szCs w:val="20"/>
        </w:rPr>
        <w:t xml:space="preserve"> Unsicherheiten begleitet </w:t>
      </w:r>
      <w:r w:rsidR="005109FD">
        <w:rPr>
          <w:rFonts w:ascii="Arial" w:hAnsi="Arial" w:cs="Arial"/>
          <w:color w:val="000000"/>
          <w:sz w:val="20"/>
          <w:szCs w:val="20"/>
        </w:rPr>
        <w:t>sein kann</w:t>
      </w:r>
      <w:r w:rsidR="005F6E64">
        <w:rPr>
          <w:rFonts w:ascii="Arial" w:hAnsi="Arial" w:cs="Arial"/>
          <w:color w:val="000000"/>
          <w:sz w:val="20"/>
          <w:szCs w:val="20"/>
        </w:rPr>
        <w:t xml:space="preserve">, ist die stufenweise Wiedereingliederung </w:t>
      </w:r>
      <w:r w:rsidR="00EF2290">
        <w:rPr>
          <w:rFonts w:ascii="Arial" w:hAnsi="Arial" w:cs="Arial"/>
          <w:color w:val="000000"/>
          <w:sz w:val="20"/>
          <w:szCs w:val="20"/>
        </w:rPr>
        <w:t>eine geeignete Maßnahme</w:t>
      </w:r>
      <w:r w:rsidR="005109FD" w:rsidRPr="005109FD">
        <w:rPr>
          <w:rFonts w:ascii="Arial" w:hAnsi="Arial" w:cs="Arial"/>
          <w:color w:val="000000"/>
          <w:sz w:val="20"/>
          <w:szCs w:val="20"/>
        </w:rPr>
        <w:t xml:space="preserve"> zurück ins Arbeitsleben</w:t>
      </w:r>
      <w:r w:rsidR="005F6E64">
        <w:rPr>
          <w:rFonts w:ascii="Arial" w:hAnsi="Arial" w:cs="Arial"/>
          <w:color w:val="000000"/>
          <w:sz w:val="20"/>
          <w:szCs w:val="20"/>
        </w:rPr>
        <w:t xml:space="preserve"> – also eine Chance für alle.</w:t>
      </w:r>
    </w:p>
    <w:p w14:paraId="6346362A" w14:textId="77777777" w:rsidR="002A274B" w:rsidRDefault="002A274B" w:rsidP="00B16E4E">
      <w:pPr>
        <w:tabs>
          <w:tab w:val="left" w:pos="720"/>
          <w:tab w:val="left" w:pos="7380"/>
        </w:tabs>
        <w:spacing w:after="0" w:line="360" w:lineRule="auto"/>
        <w:jc w:val="both"/>
        <w:rPr>
          <w:rFonts w:ascii="Arial" w:hAnsi="Arial" w:cs="Arial"/>
          <w:color w:val="000000"/>
          <w:sz w:val="20"/>
          <w:szCs w:val="20"/>
        </w:rPr>
      </w:pPr>
    </w:p>
    <w:p w14:paraId="0DF5E837" w14:textId="2BC6AC91" w:rsidR="006C5033" w:rsidRDefault="00BE66F5" w:rsidP="00B16E4E">
      <w:pPr>
        <w:tabs>
          <w:tab w:val="left" w:pos="720"/>
          <w:tab w:val="left" w:pos="7380"/>
        </w:tabs>
        <w:spacing w:after="0" w:line="360" w:lineRule="auto"/>
        <w:jc w:val="both"/>
        <w:rPr>
          <w:rFonts w:ascii="Arial" w:hAnsi="Arial" w:cs="Arial"/>
          <w:color w:val="000000"/>
          <w:sz w:val="20"/>
          <w:szCs w:val="20"/>
        </w:rPr>
      </w:pPr>
      <w:r w:rsidRPr="00BE66F5">
        <w:rPr>
          <w:rFonts w:ascii="Arial" w:hAnsi="Arial" w:cs="Arial"/>
          <w:color w:val="000000"/>
          <w:sz w:val="20"/>
          <w:szCs w:val="20"/>
        </w:rPr>
        <w:t>Unternehmen und Beschäftigte können sich unter folgendem Link über das Angebot zur Arbeitsmedizin von TÜV Rheinland informieren: </w:t>
      </w:r>
      <w:hyperlink r:id="rId12" w:tgtFrame="_blank" w:history="1">
        <w:r w:rsidRPr="00BE66F5">
          <w:rPr>
            <w:rStyle w:val="Hyperlink"/>
            <w:rFonts w:ascii="Arial" w:hAnsi="Arial" w:cs="Arial"/>
            <w:b/>
            <w:bCs/>
            <w:sz w:val="20"/>
            <w:szCs w:val="20"/>
          </w:rPr>
          <w:t>www.tuv.com/bgm</w:t>
        </w:r>
      </w:hyperlink>
    </w:p>
    <w:p w14:paraId="0C0FE4B1" w14:textId="77777777" w:rsidR="002D1E69" w:rsidRDefault="002D1E69" w:rsidP="00B16E4E">
      <w:pPr>
        <w:tabs>
          <w:tab w:val="left" w:pos="720"/>
          <w:tab w:val="left" w:pos="7380"/>
        </w:tabs>
        <w:spacing w:after="0" w:line="360" w:lineRule="auto"/>
        <w:jc w:val="both"/>
        <w:rPr>
          <w:rFonts w:ascii="Arial" w:hAnsi="Arial" w:cs="Arial"/>
          <w:color w:val="000000"/>
          <w:sz w:val="20"/>
          <w:szCs w:val="20"/>
        </w:rPr>
      </w:pPr>
    </w:p>
    <w:p w14:paraId="1D298006" w14:textId="3E4895D4" w:rsidR="00713E20" w:rsidRPr="00713E20" w:rsidRDefault="00713E20" w:rsidP="00B16E4E">
      <w:pPr>
        <w:spacing w:line="360" w:lineRule="auto"/>
        <w:jc w:val="both"/>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w:t>
      </w:r>
      <w:r w:rsidRPr="00713E20">
        <w:rPr>
          <w:rFonts w:ascii="Arial" w:hAnsi="Arial" w:cs="Arial"/>
          <w:i/>
          <w:iCs/>
          <w:sz w:val="18"/>
          <w:szCs w:val="18"/>
        </w:rPr>
        <w:lastRenderedPageBreak/>
        <w:t xml:space="preserve">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6E7B27" w:rsidRDefault="00C6773C" w:rsidP="00B16E4E">
      <w:pPr>
        <w:tabs>
          <w:tab w:val="left" w:pos="5670"/>
        </w:tabs>
        <w:autoSpaceDE w:val="0"/>
        <w:autoSpaceDN w:val="0"/>
        <w:adjustRightInd w:val="0"/>
        <w:spacing w:after="0" w:line="360" w:lineRule="auto"/>
        <w:jc w:val="both"/>
        <w:rPr>
          <w:rFonts w:ascii="Arial" w:hAnsi="Arial" w:cs="Arial"/>
          <w:i/>
          <w:sz w:val="18"/>
          <w:szCs w:val="18"/>
        </w:rPr>
      </w:pPr>
      <w:r w:rsidRPr="006E7B27">
        <w:rPr>
          <w:rFonts w:ascii="Arial" w:hAnsi="Arial" w:cs="Arial"/>
          <w:i/>
          <w:sz w:val="18"/>
          <w:szCs w:val="18"/>
        </w:rPr>
        <w:t>________________________________________________________________________</w:t>
      </w:r>
    </w:p>
    <w:p w14:paraId="7D377B3E" w14:textId="77777777" w:rsidR="00713E20" w:rsidRPr="006E7B27" w:rsidRDefault="00713E20" w:rsidP="00B16E4E">
      <w:pPr>
        <w:spacing w:line="360" w:lineRule="auto"/>
        <w:contextualSpacing/>
        <w:jc w:val="both"/>
        <w:rPr>
          <w:rFonts w:ascii="Arial" w:hAnsi="Arial" w:cs="Arial"/>
          <w:sz w:val="18"/>
          <w:szCs w:val="18"/>
        </w:rPr>
      </w:pPr>
      <w:r w:rsidRPr="006E7B27">
        <w:rPr>
          <w:rFonts w:ascii="Arial" w:hAnsi="Arial" w:cs="Arial"/>
          <w:sz w:val="18"/>
          <w:szCs w:val="18"/>
        </w:rPr>
        <w:t xml:space="preserve">Ihr Ansprechpartner für redaktionelle Fragen: </w:t>
      </w:r>
    </w:p>
    <w:p w14:paraId="547FE98A" w14:textId="77777777" w:rsidR="00713E20" w:rsidRPr="006E7B27" w:rsidRDefault="00713E20" w:rsidP="00B16E4E">
      <w:pPr>
        <w:spacing w:line="360" w:lineRule="auto"/>
        <w:contextualSpacing/>
        <w:jc w:val="both"/>
        <w:rPr>
          <w:rFonts w:ascii="Arial" w:hAnsi="Arial" w:cs="Arial"/>
          <w:sz w:val="18"/>
          <w:szCs w:val="18"/>
        </w:rPr>
      </w:pPr>
      <w:r w:rsidRPr="006E7B27">
        <w:rPr>
          <w:rFonts w:ascii="Arial" w:hAnsi="Arial" w:cs="Arial"/>
          <w:sz w:val="18"/>
          <w:szCs w:val="18"/>
        </w:rPr>
        <w:t>Pressestelle TÜV Rheinland, Tel.: +49 2 21/8 06-21 48</w:t>
      </w:r>
    </w:p>
    <w:p w14:paraId="09F2211E" w14:textId="3A49A383" w:rsidR="003C722D" w:rsidRPr="006E7B27" w:rsidRDefault="00713E20" w:rsidP="00B16E4E">
      <w:pPr>
        <w:widowControl w:val="0"/>
        <w:spacing w:after="0" w:line="360" w:lineRule="auto"/>
        <w:contextualSpacing/>
        <w:jc w:val="both"/>
        <w:rPr>
          <w:rFonts w:ascii="Arial" w:hAnsi="Arial" w:cs="Arial"/>
          <w:sz w:val="18"/>
          <w:szCs w:val="18"/>
        </w:rPr>
      </w:pPr>
      <w:r w:rsidRPr="006E7B27">
        <w:rPr>
          <w:rFonts w:ascii="Arial" w:hAnsi="Arial" w:cs="Arial"/>
          <w:sz w:val="18"/>
          <w:szCs w:val="18"/>
        </w:rPr>
        <w:t xml:space="preserve">Die aktuellen Presseinformationen sowie themenbezogene Fotos und Videos erhalten Sie auch per E-Mail über </w:t>
      </w:r>
      <w:hyperlink r:id="rId14" w:history="1">
        <w:r w:rsidRPr="006E7B27">
          <w:rPr>
            <w:rStyle w:val="Hyperlink"/>
            <w:rFonts w:ascii="Arial" w:hAnsi="Arial" w:cs="Arial"/>
            <w:sz w:val="18"/>
            <w:szCs w:val="18"/>
          </w:rPr>
          <w:t>contact@press.tuv.com</w:t>
        </w:r>
      </w:hyperlink>
      <w:r w:rsidRPr="006E7B27">
        <w:rPr>
          <w:rFonts w:ascii="Arial" w:hAnsi="Arial" w:cs="Arial"/>
          <w:sz w:val="18"/>
          <w:szCs w:val="18"/>
        </w:rPr>
        <w:t xml:space="preserve"> sowie im Internet: </w:t>
      </w:r>
      <w:hyperlink r:id="rId15" w:history="1">
        <w:r w:rsidRPr="006E7B27">
          <w:rPr>
            <w:rStyle w:val="Hyperlink"/>
            <w:rFonts w:ascii="Arial" w:hAnsi="Arial" w:cs="Arial"/>
            <w:sz w:val="18"/>
            <w:szCs w:val="18"/>
          </w:rPr>
          <w:t>www.tuv.com/presse</w:t>
        </w:r>
      </w:hyperlink>
      <w:r w:rsidR="00406AAA" w:rsidRPr="006E7B27">
        <w:rPr>
          <w:rFonts w:ascii="Arial" w:hAnsi="Arial" w:cs="Arial"/>
          <w:sz w:val="18"/>
          <w:szCs w:val="18"/>
        </w:rPr>
        <w:t>.</w:t>
      </w:r>
    </w:p>
    <w:sectPr w:rsidR="003C722D" w:rsidRPr="006E7B27"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F620" w14:textId="77777777" w:rsidR="00A4531B" w:rsidRDefault="00A4531B" w:rsidP="00D72123">
      <w:pPr>
        <w:spacing w:after="0" w:line="240" w:lineRule="auto"/>
      </w:pPr>
      <w:r>
        <w:separator/>
      </w:r>
    </w:p>
  </w:endnote>
  <w:endnote w:type="continuationSeparator" w:id="0">
    <w:p w14:paraId="7413B18A" w14:textId="77777777" w:rsidR="00A4531B" w:rsidRDefault="00A4531B" w:rsidP="00D72123">
      <w:pPr>
        <w:spacing w:after="0" w:line="240" w:lineRule="auto"/>
      </w:pPr>
      <w:r>
        <w:continuationSeparator/>
      </w:r>
    </w:p>
  </w:endnote>
  <w:endnote w:type="continuationNotice" w:id="1">
    <w:p w14:paraId="331EBA79" w14:textId="77777777" w:rsidR="00A4531B" w:rsidRDefault="00A45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816E" w14:textId="77777777" w:rsidR="00A4531B" w:rsidRDefault="00A4531B" w:rsidP="00D72123">
      <w:pPr>
        <w:spacing w:after="0" w:line="240" w:lineRule="auto"/>
      </w:pPr>
      <w:r>
        <w:separator/>
      </w:r>
    </w:p>
  </w:footnote>
  <w:footnote w:type="continuationSeparator" w:id="0">
    <w:p w14:paraId="5B74F497" w14:textId="77777777" w:rsidR="00A4531B" w:rsidRDefault="00A4531B" w:rsidP="00D72123">
      <w:pPr>
        <w:spacing w:after="0" w:line="240" w:lineRule="auto"/>
      </w:pPr>
      <w:r>
        <w:continuationSeparator/>
      </w:r>
    </w:p>
  </w:footnote>
  <w:footnote w:type="continuationNotice" w:id="1">
    <w:p w14:paraId="6FF2EF41" w14:textId="77777777" w:rsidR="00A4531B" w:rsidRDefault="00A45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DEE"/>
    <w:rsid w:val="000252BB"/>
    <w:rsid w:val="00031779"/>
    <w:rsid w:val="00034B12"/>
    <w:rsid w:val="00054D0A"/>
    <w:rsid w:val="00061BAD"/>
    <w:rsid w:val="00064B9D"/>
    <w:rsid w:val="0006533A"/>
    <w:rsid w:val="0007042B"/>
    <w:rsid w:val="0008240E"/>
    <w:rsid w:val="0008510A"/>
    <w:rsid w:val="000963A9"/>
    <w:rsid w:val="000A4B26"/>
    <w:rsid w:val="000A5644"/>
    <w:rsid w:val="000A6A5C"/>
    <w:rsid w:val="000B0E14"/>
    <w:rsid w:val="000B419E"/>
    <w:rsid w:val="000C65BE"/>
    <w:rsid w:val="000D1CC7"/>
    <w:rsid w:val="000E1C4C"/>
    <w:rsid w:val="000F2434"/>
    <w:rsid w:val="000F6FA7"/>
    <w:rsid w:val="00103A99"/>
    <w:rsid w:val="001066CD"/>
    <w:rsid w:val="001073FA"/>
    <w:rsid w:val="001075B4"/>
    <w:rsid w:val="001167BB"/>
    <w:rsid w:val="001238DE"/>
    <w:rsid w:val="00124089"/>
    <w:rsid w:val="00150E4E"/>
    <w:rsid w:val="00152315"/>
    <w:rsid w:val="001529B5"/>
    <w:rsid w:val="00154D0C"/>
    <w:rsid w:val="00156C5F"/>
    <w:rsid w:val="001644D0"/>
    <w:rsid w:val="00181C2F"/>
    <w:rsid w:val="00194657"/>
    <w:rsid w:val="001A2B81"/>
    <w:rsid w:val="001B1ECA"/>
    <w:rsid w:val="001B2A98"/>
    <w:rsid w:val="001B72E1"/>
    <w:rsid w:val="001D18D1"/>
    <w:rsid w:val="001E27E9"/>
    <w:rsid w:val="001E4007"/>
    <w:rsid w:val="00201861"/>
    <w:rsid w:val="002073E1"/>
    <w:rsid w:val="002207B1"/>
    <w:rsid w:val="00232D6A"/>
    <w:rsid w:val="00233554"/>
    <w:rsid w:val="00235143"/>
    <w:rsid w:val="002415A2"/>
    <w:rsid w:val="00245CE5"/>
    <w:rsid w:val="0025004B"/>
    <w:rsid w:val="0025019B"/>
    <w:rsid w:val="00252747"/>
    <w:rsid w:val="0025449E"/>
    <w:rsid w:val="00262534"/>
    <w:rsid w:val="00264F71"/>
    <w:rsid w:val="002715F4"/>
    <w:rsid w:val="00285B70"/>
    <w:rsid w:val="002920B4"/>
    <w:rsid w:val="002941CE"/>
    <w:rsid w:val="002977DD"/>
    <w:rsid w:val="002A274B"/>
    <w:rsid w:val="002A2BF9"/>
    <w:rsid w:val="002A3CC4"/>
    <w:rsid w:val="002B4D4D"/>
    <w:rsid w:val="002B6E7E"/>
    <w:rsid w:val="002D0898"/>
    <w:rsid w:val="002D1E69"/>
    <w:rsid w:val="002D64D8"/>
    <w:rsid w:val="002D665E"/>
    <w:rsid w:val="002D68B2"/>
    <w:rsid w:val="002F6276"/>
    <w:rsid w:val="003065FB"/>
    <w:rsid w:val="00311491"/>
    <w:rsid w:val="003222D6"/>
    <w:rsid w:val="00330B36"/>
    <w:rsid w:val="00356470"/>
    <w:rsid w:val="0035674C"/>
    <w:rsid w:val="00357838"/>
    <w:rsid w:val="003927C3"/>
    <w:rsid w:val="003B66DE"/>
    <w:rsid w:val="003C20CC"/>
    <w:rsid w:val="003C722D"/>
    <w:rsid w:val="003C7B36"/>
    <w:rsid w:val="003D3B25"/>
    <w:rsid w:val="003E05CB"/>
    <w:rsid w:val="003E3746"/>
    <w:rsid w:val="003E70CB"/>
    <w:rsid w:val="003F1F1F"/>
    <w:rsid w:val="003F5EF2"/>
    <w:rsid w:val="00403CFA"/>
    <w:rsid w:val="00404022"/>
    <w:rsid w:val="00406AAA"/>
    <w:rsid w:val="00407BDC"/>
    <w:rsid w:val="00417DE6"/>
    <w:rsid w:val="0042579B"/>
    <w:rsid w:val="00425CB1"/>
    <w:rsid w:val="004260DC"/>
    <w:rsid w:val="00431E56"/>
    <w:rsid w:val="00431F6C"/>
    <w:rsid w:val="00461A1B"/>
    <w:rsid w:val="0046393B"/>
    <w:rsid w:val="00477A20"/>
    <w:rsid w:val="004846FE"/>
    <w:rsid w:val="004869D2"/>
    <w:rsid w:val="004E0AFA"/>
    <w:rsid w:val="004E1125"/>
    <w:rsid w:val="004E5E4A"/>
    <w:rsid w:val="004F0228"/>
    <w:rsid w:val="004F0C38"/>
    <w:rsid w:val="00500879"/>
    <w:rsid w:val="005023C9"/>
    <w:rsid w:val="005109FD"/>
    <w:rsid w:val="00510A87"/>
    <w:rsid w:val="00554CF4"/>
    <w:rsid w:val="00557F52"/>
    <w:rsid w:val="00563631"/>
    <w:rsid w:val="005657DF"/>
    <w:rsid w:val="00586F2B"/>
    <w:rsid w:val="0058780D"/>
    <w:rsid w:val="00595CFD"/>
    <w:rsid w:val="005B1147"/>
    <w:rsid w:val="005B2628"/>
    <w:rsid w:val="005C2271"/>
    <w:rsid w:val="005C39AF"/>
    <w:rsid w:val="005C44F0"/>
    <w:rsid w:val="005C49D9"/>
    <w:rsid w:val="005C4A8F"/>
    <w:rsid w:val="005C6F9C"/>
    <w:rsid w:val="005D73E3"/>
    <w:rsid w:val="005E2177"/>
    <w:rsid w:val="005F0B12"/>
    <w:rsid w:val="005F6E64"/>
    <w:rsid w:val="006034F2"/>
    <w:rsid w:val="006219E2"/>
    <w:rsid w:val="00623A9C"/>
    <w:rsid w:val="00624234"/>
    <w:rsid w:val="00624E11"/>
    <w:rsid w:val="006377B0"/>
    <w:rsid w:val="00637FFE"/>
    <w:rsid w:val="006537E3"/>
    <w:rsid w:val="00662D35"/>
    <w:rsid w:val="00662FA6"/>
    <w:rsid w:val="006710C3"/>
    <w:rsid w:val="006734D7"/>
    <w:rsid w:val="00673563"/>
    <w:rsid w:val="0069738E"/>
    <w:rsid w:val="006A4796"/>
    <w:rsid w:val="006A6799"/>
    <w:rsid w:val="006C2593"/>
    <w:rsid w:val="006C5033"/>
    <w:rsid w:val="006C7024"/>
    <w:rsid w:val="006D0C40"/>
    <w:rsid w:val="006D0D63"/>
    <w:rsid w:val="006D166C"/>
    <w:rsid w:val="006D3D78"/>
    <w:rsid w:val="006E0D97"/>
    <w:rsid w:val="006E7B27"/>
    <w:rsid w:val="006F21A8"/>
    <w:rsid w:val="006F71F3"/>
    <w:rsid w:val="00707004"/>
    <w:rsid w:val="0070718C"/>
    <w:rsid w:val="00713E20"/>
    <w:rsid w:val="0071494C"/>
    <w:rsid w:val="00754CEE"/>
    <w:rsid w:val="00760566"/>
    <w:rsid w:val="007605E3"/>
    <w:rsid w:val="00770112"/>
    <w:rsid w:val="007B0BA6"/>
    <w:rsid w:val="007C2483"/>
    <w:rsid w:val="007D043D"/>
    <w:rsid w:val="007D0597"/>
    <w:rsid w:val="007D339B"/>
    <w:rsid w:val="007D52BA"/>
    <w:rsid w:val="007D6377"/>
    <w:rsid w:val="007E06AC"/>
    <w:rsid w:val="007F28DE"/>
    <w:rsid w:val="00804050"/>
    <w:rsid w:val="0081188A"/>
    <w:rsid w:val="00812886"/>
    <w:rsid w:val="00816E86"/>
    <w:rsid w:val="00831113"/>
    <w:rsid w:val="00831852"/>
    <w:rsid w:val="00832D9D"/>
    <w:rsid w:val="00837233"/>
    <w:rsid w:val="00846139"/>
    <w:rsid w:val="0085176A"/>
    <w:rsid w:val="008651DB"/>
    <w:rsid w:val="00870E2A"/>
    <w:rsid w:val="0088216B"/>
    <w:rsid w:val="008863B3"/>
    <w:rsid w:val="00890A42"/>
    <w:rsid w:val="00894D2B"/>
    <w:rsid w:val="008A630C"/>
    <w:rsid w:val="008B2C5A"/>
    <w:rsid w:val="008C3CEF"/>
    <w:rsid w:val="008C4EEA"/>
    <w:rsid w:val="008C7570"/>
    <w:rsid w:val="008D0E51"/>
    <w:rsid w:val="008D7592"/>
    <w:rsid w:val="008E1EEC"/>
    <w:rsid w:val="008E29CA"/>
    <w:rsid w:val="008E3E1F"/>
    <w:rsid w:val="008F159A"/>
    <w:rsid w:val="00910393"/>
    <w:rsid w:val="00914B2B"/>
    <w:rsid w:val="00922CF2"/>
    <w:rsid w:val="00925B17"/>
    <w:rsid w:val="00934FC4"/>
    <w:rsid w:val="00965509"/>
    <w:rsid w:val="00966212"/>
    <w:rsid w:val="00972400"/>
    <w:rsid w:val="00981B3C"/>
    <w:rsid w:val="00994D45"/>
    <w:rsid w:val="009951C8"/>
    <w:rsid w:val="009A4170"/>
    <w:rsid w:val="009C69BC"/>
    <w:rsid w:val="009D404E"/>
    <w:rsid w:val="009F1131"/>
    <w:rsid w:val="009F6411"/>
    <w:rsid w:val="00A201C7"/>
    <w:rsid w:val="00A4531B"/>
    <w:rsid w:val="00A5075E"/>
    <w:rsid w:val="00A6288A"/>
    <w:rsid w:val="00A64BB3"/>
    <w:rsid w:val="00A836B2"/>
    <w:rsid w:val="00A84790"/>
    <w:rsid w:val="00A917A6"/>
    <w:rsid w:val="00A95C14"/>
    <w:rsid w:val="00A96D76"/>
    <w:rsid w:val="00AA66BC"/>
    <w:rsid w:val="00AB329B"/>
    <w:rsid w:val="00AB5977"/>
    <w:rsid w:val="00AC0CA7"/>
    <w:rsid w:val="00AC7207"/>
    <w:rsid w:val="00AC72A8"/>
    <w:rsid w:val="00AD2DD9"/>
    <w:rsid w:val="00AD3EE4"/>
    <w:rsid w:val="00AD7A93"/>
    <w:rsid w:val="00AD7ED6"/>
    <w:rsid w:val="00AE16A5"/>
    <w:rsid w:val="00AE6CA2"/>
    <w:rsid w:val="00B0202E"/>
    <w:rsid w:val="00B039B8"/>
    <w:rsid w:val="00B14C97"/>
    <w:rsid w:val="00B16E4E"/>
    <w:rsid w:val="00B26031"/>
    <w:rsid w:val="00B42404"/>
    <w:rsid w:val="00B42A15"/>
    <w:rsid w:val="00B45F80"/>
    <w:rsid w:val="00B509EA"/>
    <w:rsid w:val="00B62302"/>
    <w:rsid w:val="00B7224A"/>
    <w:rsid w:val="00B7317A"/>
    <w:rsid w:val="00B73198"/>
    <w:rsid w:val="00B8738D"/>
    <w:rsid w:val="00B87450"/>
    <w:rsid w:val="00BA63D3"/>
    <w:rsid w:val="00BB1D8B"/>
    <w:rsid w:val="00BD56DC"/>
    <w:rsid w:val="00BE66F5"/>
    <w:rsid w:val="00C159DC"/>
    <w:rsid w:val="00C23770"/>
    <w:rsid w:val="00C27CFE"/>
    <w:rsid w:val="00C45E98"/>
    <w:rsid w:val="00C46614"/>
    <w:rsid w:val="00C56568"/>
    <w:rsid w:val="00C56CF8"/>
    <w:rsid w:val="00C6050A"/>
    <w:rsid w:val="00C6763E"/>
    <w:rsid w:val="00C6773C"/>
    <w:rsid w:val="00C67981"/>
    <w:rsid w:val="00C70DC1"/>
    <w:rsid w:val="00C76AF4"/>
    <w:rsid w:val="00C77501"/>
    <w:rsid w:val="00C81B8A"/>
    <w:rsid w:val="00C82B80"/>
    <w:rsid w:val="00C835ED"/>
    <w:rsid w:val="00C941AB"/>
    <w:rsid w:val="00C96952"/>
    <w:rsid w:val="00CB023F"/>
    <w:rsid w:val="00CB2873"/>
    <w:rsid w:val="00CF468F"/>
    <w:rsid w:val="00D007CE"/>
    <w:rsid w:val="00D27632"/>
    <w:rsid w:val="00D46ADE"/>
    <w:rsid w:val="00D5228C"/>
    <w:rsid w:val="00D60257"/>
    <w:rsid w:val="00D67FAD"/>
    <w:rsid w:val="00D71252"/>
    <w:rsid w:val="00D72123"/>
    <w:rsid w:val="00D74432"/>
    <w:rsid w:val="00D76496"/>
    <w:rsid w:val="00D804F8"/>
    <w:rsid w:val="00D8143E"/>
    <w:rsid w:val="00D96DAF"/>
    <w:rsid w:val="00D9716F"/>
    <w:rsid w:val="00DA3D25"/>
    <w:rsid w:val="00DB656F"/>
    <w:rsid w:val="00DC4ABD"/>
    <w:rsid w:val="00DE7DC0"/>
    <w:rsid w:val="00E02937"/>
    <w:rsid w:val="00E45661"/>
    <w:rsid w:val="00E50D83"/>
    <w:rsid w:val="00E51F08"/>
    <w:rsid w:val="00E52123"/>
    <w:rsid w:val="00E5484D"/>
    <w:rsid w:val="00E65A37"/>
    <w:rsid w:val="00E73281"/>
    <w:rsid w:val="00E82198"/>
    <w:rsid w:val="00E913CF"/>
    <w:rsid w:val="00E95F60"/>
    <w:rsid w:val="00EA487A"/>
    <w:rsid w:val="00EA54D0"/>
    <w:rsid w:val="00EB1E46"/>
    <w:rsid w:val="00EB5292"/>
    <w:rsid w:val="00EC10CC"/>
    <w:rsid w:val="00EC2876"/>
    <w:rsid w:val="00EC4ECC"/>
    <w:rsid w:val="00EC60A0"/>
    <w:rsid w:val="00EE100B"/>
    <w:rsid w:val="00EF2290"/>
    <w:rsid w:val="00EF49C7"/>
    <w:rsid w:val="00EF7606"/>
    <w:rsid w:val="00EF7745"/>
    <w:rsid w:val="00F07706"/>
    <w:rsid w:val="00F14DE7"/>
    <w:rsid w:val="00F167B6"/>
    <w:rsid w:val="00F17684"/>
    <w:rsid w:val="00F21384"/>
    <w:rsid w:val="00F2535C"/>
    <w:rsid w:val="00F2793F"/>
    <w:rsid w:val="00F56D70"/>
    <w:rsid w:val="00F64495"/>
    <w:rsid w:val="00F76461"/>
    <w:rsid w:val="00F90D2F"/>
    <w:rsid w:val="00F9740B"/>
    <w:rsid w:val="00FB6643"/>
    <w:rsid w:val="00FB6FB4"/>
    <w:rsid w:val="00FD10E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BE66F5"/>
    <w:rPr>
      <w:color w:val="800080" w:themeColor="followedHyperlink"/>
      <w:u w:val="single"/>
    </w:rPr>
  </w:style>
  <w:style w:type="paragraph" w:styleId="berarbeitung">
    <w:name w:val="Revision"/>
    <w:hidden/>
    <w:uiPriority w:val="99"/>
    <w:semiHidden/>
    <w:rsid w:val="00E91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0096">
      <w:bodyDiv w:val="1"/>
      <w:marLeft w:val="0"/>
      <w:marRight w:val="0"/>
      <w:marTop w:val="0"/>
      <w:marBottom w:val="0"/>
      <w:divBdr>
        <w:top w:val="none" w:sz="0" w:space="0" w:color="auto"/>
        <w:left w:val="none" w:sz="0" w:space="0" w:color="auto"/>
        <w:bottom w:val="none" w:sz="0" w:space="0" w:color="auto"/>
        <w:right w:val="none" w:sz="0" w:space="0" w:color="auto"/>
      </w:divBdr>
    </w:div>
    <w:div w:id="24754633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674406536">
      <w:bodyDiv w:val="1"/>
      <w:marLeft w:val="0"/>
      <w:marRight w:val="0"/>
      <w:marTop w:val="0"/>
      <w:marBottom w:val="0"/>
      <w:divBdr>
        <w:top w:val="none" w:sz="0" w:space="0" w:color="auto"/>
        <w:left w:val="none" w:sz="0" w:space="0" w:color="auto"/>
        <w:bottom w:val="none" w:sz="0" w:space="0" w:color="auto"/>
        <w:right w:val="none" w:sz="0" w:space="0" w:color="auto"/>
      </w:divBdr>
    </w:div>
    <w:div w:id="1827474473">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v.com/germany/de/lp/academy-lifecare/arbeitsmedizinischer-dienst/main-navigation/gesundheitsmanagement/bg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bgm"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18</cp:revision>
  <cp:lastPrinted>2017-12-06T17:02:00Z</cp:lastPrinted>
  <dcterms:created xsi:type="dcterms:W3CDTF">2024-09-23T07:57:00Z</dcterms:created>
  <dcterms:modified xsi:type="dcterms:W3CDTF">2024-09-23T13:06:00Z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